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四川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郫县豆瓣股份有限公司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</w:p>
    <w:p w14:paraId="6056A6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基础原料5号-1（甜瓣子）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8E2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2025年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月-202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月。</w:t>
      </w:r>
    </w:p>
    <w:p w14:paraId="6C593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及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包装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包装方式符合食品安全，如用PE袋或者转运桶等包装运输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，由我司负责卸货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。</w:t>
      </w:r>
    </w:p>
    <w:p w14:paraId="5F00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王乐东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13488968669  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）投标报价公司需遵守《廉政告知书》条款。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3"/>
        <w:tblpPr w:leftFromText="180" w:rightFromText="180" w:vertAnchor="text" w:horzAnchor="page" w:tblpX="1109" w:tblpY="167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888"/>
        <w:gridCol w:w="4548"/>
        <w:gridCol w:w="936"/>
        <w:gridCol w:w="848"/>
        <w:gridCol w:w="816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技术要求及验收标准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最高</w:t>
            </w:r>
          </w:p>
          <w:p w14:paraId="53B0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限价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</w:p>
          <w:p w14:paraId="692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基础原料5号-1</w:t>
            </w:r>
          </w:p>
          <w:p w14:paraId="190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（甜瓣子）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7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保温发酵时间≥2个月，所提供为精选异物的产品。</w:t>
            </w:r>
          </w:p>
          <w:p w14:paraId="721F9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lang w:val="en-US" w:eastAsia="zh-CN"/>
              </w:rPr>
              <w:t>无盐固形物/（g/100g）≥35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，水分/（g/100g） ≤50，食用盐（以氯化钠计）/（g/100g）为13-15；   总酸（以乳酸计）/（g/100g）≤2，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氨基酸态氮（以N计）/（g/100）≥0.5。 </w:t>
            </w:r>
          </w:p>
          <w:p w14:paraId="4BC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D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普通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货到验收合格票到后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20日内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付款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采购数量以招标人实际需求数量为准。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若报价高于限价，报价无效。③招标人在工作日进行询价，2次未接招标人电话的情况，以报价单上价格为最终报价。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④报价单位须提供1KG以上样品。</w:t>
            </w:r>
          </w:p>
        </w:tc>
      </w:tr>
    </w:tbl>
    <w:p w14:paraId="2B83DE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  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报价时间：</w:t>
      </w:r>
      <w:r>
        <w:rPr>
          <w:rFonts w:hint="eastAsia" w:eastAsia="宋体"/>
          <w:b w:val="0"/>
          <w:bCs w:val="0"/>
          <w:sz w:val="21"/>
          <w:szCs w:val="21"/>
          <w:u w:val="single"/>
          <w:lang w:val="en-US" w:eastAsia="zh-CN"/>
        </w:rPr>
        <w:t xml:space="preserve"> 2025年  月   日</w:t>
      </w:r>
    </w:p>
    <w:p w14:paraId="1F9C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33D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33B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需其他文件，如：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生产许可证等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）。</w:t>
      </w: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四、报价单填写要求：请勿修改询价单中格式、内容，否则视为无效报价。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8551AE3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2249D95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1178693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E49478D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57AE3BE6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BD8C52F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4F93A7C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312F27F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510D28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440" w:lineRule="exact"/>
        <w:outlineLvl w:val="9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 xml:space="preserve">附件： 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质量指标</w:t>
      </w:r>
    </w:p>
    <w:p w14:paraId="11B47B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40" w:lineRule="exact"/>
        <w:outlineLvl w:val="9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  <w:t>感官要求</w:t>
      </w:r>
    </w:p>
    <w:tbl>
      <w:tblPr>
        <w:tblStyle w:val="3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4027"/>
        <w:gridCol w:w="1877"/>
        <w:gridCol w:w="2488"/>
      </w:tblGrid>
      <w:tr w14:paraId="6E5D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53" w:type="dxa"/>
            <w:vMerge w:val="restart"/>
            <w:noWrap w:val="0"/>
            <w:vAlign w:val="center"/>
          </w:tcPr>
          <w:p w14:paraId="691E80D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bookmarkStart w:id="0" w:name="OLE_LINK23"/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项  目</w:t>
            </w:r>
          </w:p>
        </w:tc>
        <w:tc>
          <w:tcPr>
            <w:tcW w:w="4027" w:type="dxa"/>
            <w:noWrap w:val="0"/>
            <w:vAlign w:val="center"/>
          </w:tcPr>
          <w:p w14:paraId="154AF5C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标准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 w14:paraId="3C2C64B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检验频率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方法</w:t>
            </w:r>
          </w:p>
        </w:tc>
        <w:tc>
          <w:tcPr>
            <w:tcW w:w="2488" w:type="dxa"/>
            <w:vMerge w:val="restart"/>
            <w:noWrap w:val="0"/>
            <w:vAlign w:val="center"/>
          </w:tcPr>
          <w:p w14:paraId="11ECC13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处罚方式及标准</w:t>
            </w:r>
          </w:p>
        </w:tc>
      </w:tr>
      <w:tr w14:paraId="1697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53" w:type="dxa"/>
            <w:vMerge w:val="continue"/>
            <w:noWrap w:val="0"/>
            <w:vAlign w:val="center"/>
          </w:tcPr>
          <w:p w14:paraId="7D32CF4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7" w:type="dxa"/>
            <w:noWrap w:val="0"/>
            <w:vAlign w:val="center"/>
          </w:tcPr>
          <w:p w14:paraId="15A66AB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基础原料5号-1</w:t>
            </w:r>
          </w:p>
        </w:tc>
        <w:tc>
          <w:tcPr>
            <w:tcW w:w="1877" w:type="dxa"/>
            <w:vMerge w:val="continue"/>
            <w:noWrap w:val="0"/>
            <w:vAlign w:val="center"/>
          </w:tcPr>
          <w:p w14:paraId="7AC2B9E4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88" w:type="dxa"/>
            <w:vMerge w:val="continue"/>
            <w:noWrap w:val="0"/>
            <w:vAlign w:val="center"/>
          </w:tcPr>
          <w:p w14:paraId="38150BFC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A68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3" w:type="dxa"/>
            <w:noWrap w:val="0"/>
            <w:vAlign w:val="center"/>
          </w:tcPr>
          <w:p w14:paraId="7A9C1AA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色泽</w:t>
            </w:r>
          </w:p>
        </w:tc>
        <w:tc>
          <w:tcPr>
            <w:tcW w:w="4027" w:type="dxa"/>
            <w:noWrap w:val="0"/>
            <w:vAlign w:val="center"/>
          </w:tcPr>
          <w:p w14:paraId="1EA2677C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棕色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至浅棕褐色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、有光泽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 w14:paraId="21F30475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每车，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取适量样品放置于白色瓷盘内，在充足的自然光线下，目测色泽、组织形态/性状，嗅其气味，尝其滋味，检查有无杂质。</w:t>
            </w:r>
          </w:p>
        </w:tc>
        <w:tc>
          <w:tcPr>
            <w:tcW w:w="2488" w:type="dxa"/>
            <w:vMerge w:val="restart"/>
            <w:noWrap w:val="0"/>
            <w:vAlign w:val="center"/>
          </w:tcPr>
          <w:p w14:paraId="557969D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1.超过标准，并与样品差异较大的，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拒收处理；</w:t>
            </w:r>
          </w:p>
          <w:p w14:paraId="3B4C893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不符合标准要求，但未达到拒收的，经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技术中心、生产综合判定后，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按50-200元/吨进行扣款让步接收。</w:t>
            </w:r>
          </w:p>
        </w:tc>
      </w:tr>
      <w:tr w14:paraId="37C1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53" w:type="dxa"/>
            <w:noWrap w:val="0"/>
            <w:vAlign w:val="center"/>
          </w:tcPr>
          <w:p w14:paraId="5EA4186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组织形态性状</w:t>
            </w:r>
          </w:p>
        </w:tc>
        <w:tc>
          <w:tcPr>
            <w:tcW w:w="4027" w:type="dxa"/>
            <w:noWrap w:val="0"/>
            <w:vAlign w:val="center"/>
          </w:tcPr>
          <w:p w14:paraId="28588E3B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瓣粒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无结团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、无腻滑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酱汁浓稠</w:t>
            </w:r>
          </w:p>
        </w:tc>
        <w:tc>
          <w:tcPr>
            <w:tcW w:w="1877" w:type="dxa"/>
            <w:vMerge w:val="continue"/>
            <w:noWrap w:val="0"/>
            <w:vAlign w:val="center"/>
          </w:tcPr>
          <w:p w14:paraId="71126499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88" w:type="dxa"/>
            <w:vMerge w:val="continue"/>
            <w:noWrap w:val="0"/>
            <w:vAlign w:val="center"/>
          </w:tcPr>
          <w:p w14:paraId="481D983B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CF1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653" w:type="dxa"/>
            <w:noWrap w:val="0"/>
            <w:vAlign w:val="center"/>
          </w:tcPr>
          <w:p w14:paraId="07ACEE8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滋、气味</w:t>
            </w:r>
          </w:p>
        </w:tc>
        <w:tc>
          <w:tcPr>
            <w:tcW w:w="4027" w:type="dxa"/>
            <w:noWrap w:val="0"/>
            <w:vAlign w:val="center"/>
          </w:tcPr>
          <w:p w14:paraId="35CD2EE9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有酱酯香、甜香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该物料特有香气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，味鲜、回味悠长，酥脆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无发霉、酸腐等异味。</w:t>
            </w:r>
          </w:p>
        </w:tc>
        <w:tc>
          <w:tcPr>
            <w:tcW w:w="1877" w:type="dxa"/>
            <w:vMerge w:val="continue"/>
            <w:noWrap w:val="0"/>
            <w:vAlign w:val="center"/>
          </w:tcPr>
          <w:p w14:paraId="4DFFA29C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88" w:type="dxa"/>
            <w:vMerge w:val="continue"/>
            <w:noWrap w:val="0"/>
            <w:vAlign w:val="center"/>
          </w:tcPr>
          <w:p w14:paraId="2A97531B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1AD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3" w:type="dxa"/>
            <w:noWrap w:val="0"/>
            <w:vAlign w:val="center"/>
          </w:tcPr>
          <w:p w14:paraId="452ED0A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8392" w:type="dxa"/>
            <w:gridSpan w:val="3"/>
            <w:noWrap w:val="0"/>
            <w:vAlign w:val="center"/>
          </w:tcPr>
          <w:p w14:paraId="0E9A570F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若感官指标按本表所列要求与检验方法进行判定出现争议，可参考按规定确认的封存的样品对比判定。</w:t>
            </w:r>
          </w:p>
        </w:tc>
      </w:tr>
      <w:bookmarkEnd w:id="0"/>
    </w:tbl>
    <w:p w14:paraId="1273B8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440" w:lineRule="exact"/>
        <w:outlineLvl w:val="9"/>
        <w:rPr>
          <w:rFonts w:hint="eastAsia" w:ascii="仿宋" w:hAnsi="仿宋" w:eastAsia="仿宋" w:cs="仿宋"/>
          <w:b/>
          <w:bCs w:val="0"/>
          <w:sz w:val="21"/>
          <w:szCs w:val="21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highlight w:val="none"/>
          <w:lang w:val="en-US" w:eastAsia="zh-CN" w:bidi="ar-SA"/>
        </w:rPr>
        <w:t>二）</w:t>
      </w:r>
      <w:r>
        <w:rPr>
          <w:rFonts w:hint="eastAsia" w:ascii="仿宋" w:hAnsi="仿宋" w:eastAsia="仿宋" w:cs="仿宋"/>
          <w:b/>
          <w:bCs w:val="0"/>
          <w:sz w:val="21"/>
          <w:szCs w:val="21"/>
          <w:highlight w:val="none"/>
          <w:lang w:val="en-US" w:eastAsia="zh-CN"/>
        </w:rPr>
        <w:t>理化指标</w:t>
      </w:r>
    </w:p>
    <w:tbl>
      <w:tblPr>
        <w:tblStyle w:val="3"/>
        <w:tblW w:w="49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700"/>
        <w:gridCol w:w="1663"/>
        <w:gridCol w:w="1814"/>
        <w:gridCol w:w="1572"/>
      </w:tblGrid>
      <w:tr w14:paraId="2854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6FDC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   目</w:t>
            </w:r>
          </w:p>
        </w:tc>
        <w:tc>
          <w:tcPr>
            <w:tcW w:w="19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6DED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基础原料5号-1指标</w:t>
            </w:r>
          </w:p>
        </w:tc>
        <w:tc>
          <w:tcPr>
            <w:tcW w:w="10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7A50B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检验频率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方法</w:t>
            </w: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6716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处罚方式及标准</w:t>
            </w:r>
          </w:p>
        </w:tc>
      </w:tr>
      <w:tr w14:paraId="237A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8EA5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1D9C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接收标准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4AC24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拒收标准</w:t>
            </w:r>
          </w:p>
        </w:tc>
        <w:tc>
          <w:tcPr>
            <w:tcW w:w="10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5FE2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9BDD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2F2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895E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总酸（以乳酸计）/（g/100g）</w:t>
            </w:r>
            <w:bookmarkStart w:id="1" w:name="OLE_LINK28"/>
            <w:bookmarkEnd w:id="1"/>
          </w:p>
        </w:tc>
        <w:tc>
          <w:tcPr>
            <w:tcW w:w="10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0F09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≤2.0</w:t>
            </w:r>
          </w:p>
        </w:tc>
        <w:tc>
          <w:tcPr>
            <w:tcW w:w="9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E073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＞2.0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A399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每车，GB/T 5009.40</w:t>
            </w: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F065">
            <w:pPr>
              <w:pStyle w:val="6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1.单项达到拒收标准时，一律拒收；</w:t>
            </w:r>
          </w:p>
          <w:p w14:paraId="5CC29110">
            <w:pPr>
              <w:pStyle w:val="6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2.若水分、食盐指标在让步接收范围内，但无盐固形物达到接收标准时，准予接收，不作处罚。</w:t>
            </w:r>
          </w:p>
        </w:tc>
      </w:tr>
      <w:tr w14:paraId="16CD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CDB8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氨基酸态氮（以N计）/（g/100）</w:t>
            </w:r>
            <w:bookmarkStart w:id="2" w:name="OLE_LINK27"/>
            <w:bookmarkEnd w:id="2"/>
          </w:p>
        </w:tc>
        <w:tc>
          <w:tcPr>
            <w:tcW w:w="10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34B9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≥0.50</w:t>
            </w:r>
          </w:p>
        </w:tc>
        <w:tc>
          <w:tcPr>
            <w:tcW w:w="9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BB09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＜0.50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32A6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每车，GB 5009.235</w:t>
            </w: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4230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4B5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8FF7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水分/（g/100g）</w:t>
            </w:r>
          </w:p>
        </w:tc>
        <w:tc>
          <w:tcPr>
            <w:tcW w:w="10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66CF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≤49.0</w:t>
            </w:r>
          </w:p>
        </w:tc>
        <w:tc>
          <w:tcPr>
            <w:tcW w:w="9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FBF0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＞50.5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5728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每车，快检/GB 5009.3</w:t>
            </w: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0BAE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401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7AF4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食用盐（以氯化钠计）/</w:t>
            </w:r>
            <w:bookmarkStart w:id="3" w:name="OLE_LINK26"/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（g/100g）</w:t>
            </w:r>
            <w:bookmarkEnd w:id="3"/>
          </w:p>
        </w:tc>
        <w:tc>
          <w:tcPr>
            <w:tcW w:w="10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3C41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13-15</w:t>
            </w:r>
          </w:p>
        </w:tc>
        <w:tc>
          <w:tcPr>
            <w:tcW w:w="9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C2EA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＜12.5，</w:t>
            </w:r>
          </w:p>
          <w:p w14:paraId="0DE9794A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＞15.5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1977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每车，GB 5009.44</w:t>
            </w: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1C49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375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E98A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无盐固形物/（g/100g）</w:t>
            </w:r>
          </w:p>
        </w:tc>
        <w:tc>
          <w:tcPr>
            <w:tcW w:w="10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5160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≥35.0</w:t>
            </w:r>
          </w:p>
        </w:tc>
        <w:tc>
          <w:tcPr>
            <w:tcW w:w="9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C9A2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＜35.0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287E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每车，计算值(100-水分值-食盐值)</w:t>
            </w: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1F90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55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3B09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黄曲霉毒素B/(μg/kg)</w:t>
            </w:r>
          </w:p>
        </w:tc>
        <w:tc>
          <w:tcPr>
            <w:tcW w:w="10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D6D2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≤3.0</w:t>
            </w:r>
          </w:p>
        </w:tc>
        <w:tc>
          <w:tcPr>
            <w:tcW w:w="9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4335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＞3.0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43BC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每车，GB 5009.22</w:t>
            </w: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7E06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3A746BD7">
      <w:pPr>
        <w:numPr>
          <w:ilvl w:val="0"/>
          <w:numId w:val="0"/>
        </w:numPr>
        <w:spacing w:beforeLines="50" w:afterLines="50" w:line="440" w:lineRule="exact"/>
        <w:ind w:firstLine="422" w:firstLineChars="200"/>
        <w:rPr>
          <w:rFonts w:hint="eastAsia" w:ascii="仿宋" w:hAnsi="仿宋" w:eastAsia="仿宋" w:cs="仿宋"/>
          <w:b/>
          <w:i w:val="0"/>
          <w:iCs w:val="0"/>
          <w:color w:val="auto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iCs w:val="0"/>
          <w:color w:val="auto"/>
          <w:sz w:val="21"/>
          <w:szCs w:val="21"/>
        </w:rPr>
        <w:t>杂质与异物标准</w:t>
      </w:r>
    </w:p>
    <w:tbl>
      <w:tblPr>
        <w:tblStyle w:val="3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45"/>
        <w:gridCol w:w="1399"/>
        <w:gridCol w:w="915"/>
        <w:gridCol w:w="1766"/>
        <w:gridCol w:w="4657"/>
      </w:tblGrid>
      <w:tr w14:paraId="3649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63" w:hRule="exact"/>
          <w:jc w:val="center"/>
        </w:trPr>
        <w:tc>
          <w:tcPr>
            <w:tcW w:w="945" w:type="dxa"/>
            <w:noWrap w:val="0"/>
            <w:vAlign w:val="center"/>
          </w:tcPr>
          <w:p w14:paraId="4CB398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验收项目</w:t>
            </w:r>
          </w:p>
        </w:tc>
        <w:tc>
          <w:tcPr>
            <w:tcW w:w="1399" w:type="dxa"/>
            <w:noWrap w:val="0"/>
            <w:vAlign w:val="center"/>
          </w:tcPr>
          <w:p w14:paraId="631BCF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接收标准</w:t>
            </w:r>
          </w:p>
        </w:tc>
        <w:tc>
          <w:tcPr>
            <w:tcW w:w="915" w:type="dxa"/>
            <w:noWrap w:val="0"/>
            <w:vAlign w:val="center"/>
          </w:tcPr>
          <w:p w14:paraId="66947F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拒收标准</w:t>
            </w:r>
          </w:p>
        </w:tc>
        <w:tc>
          <w:tcPr>
            <w:tcW w:w="1766" w:type="dxa"/>
            <w:noWrap w:val="0"/>
            <w:vAlign w:val="center"/>
          </w:tcPr>
          <w:p w14:paraId="552487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检验频率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方法</w:t>
            </w:r>
          </w:p>
        </w:tc>
        <w:tc>
          <w:tcPr>
            <w:tcW w:w="4657" w:type="dxa"/>
            <w:noWrap w:val="0"/>
            <w:vAlign w:val="center"/>
          </w:tcPr>
          <w:p w14:paraId="343056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处罚方式及标准</w:t>
            </w:r>
          </w:p>
        </w:tc>
      </w:tr>
      <w:tr w14:paraId="31B5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45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 w14:paraId="7F6E9DFB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异物</w:t>
            </w:r>
          </w:p>
        </w:tc>
        <w:tc>
          <w:tcPr>
            <w:tcW w:w="1399" w:type="dxa"/>
            <w:noWrap w:val="0"/>
            <w:vAlign w:val="center"/>
          </w:tcPr>
          <w:p w14:paraId="34BE7C60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外源性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  <w:t>恶性异物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  <w:t>出现。</w:t>
            </w:r>
          </w:p>
          <w:p w14:paraId="17F5595A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3552430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5696367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抽检</w:t>
            </w:r>
          </w:p>
          <w:p w14:paraId="7A4CDDE1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出现</w:t>
            </w:r>
          </w:p>
        </w:tc>
        <w:tc>
          <w:tcPr>
            <w:tcW w:w="1766" w:type="dxa"/>
            <w:vMerge w:val="restart"/>
            <w:noWrap w:val="0"/>
            <w:vAlign w:val="center"/>
          </w:tcPr>
          <w:p w14:paraId="7EC14C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每车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，随机抽样，总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抽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0kg以上的样本量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批量挑选验证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4657" w:type="dxa"/>
            <w:noWrap w:val="0"/>
            <w:vAlign w:val="center"/>
          </w:tcPr>
          <w:p w14:paraId="300068A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抽样检验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批量挑选验证过程中超过标准，拒收处理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  <w:p w14:paraId="0EC4671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卸货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生产过程中发现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（经生产、品控、采购部门鉴定属实）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恶性异物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动物及残骸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照50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00元/个扣款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其它恶性异物按照1000元/个扣款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（未卸完的货拒收）；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已下的货按照100元/吨扣除挑选费用。</w:t>
            </w:r>
          </w:p>
        </w:tc>
      </w:tr>
      <w:tr w14:paraId="611D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88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 w14:paraId="1227047A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16FD148E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外源性一般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出现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15" w:type="dxa"/>
            <w:noWrap w:val="0"/>
            <w:vAlign w:val="center"/>
          </w:tcPr>
          <w:p w14:paraId="2D23A4B7">
            <w:pPr>
              <w:spacing w:before="75" w:line="219" w:lineRule="auto"/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31CF583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抽检</w:t>
            </w:r>
          </w:p>
          <w:p w14:paraId="101D113F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出现</w:t>
            </w:r>
          </w:p>
        </w:tc>
        <w:tc>
          <w:tcPr>
            <w:tcW w:w="1766" w:type="dxa"/>
            <w:vMerge w:val="continue"/>
            <w:noWrap w:val="0"/>
            <w:vAlign w:val="center"/>
          </w:tcPr>
          <w:p w14:paraId="5265C1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6313FB4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抽样检验过程中超过标准，拒收处理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  <w:p w14:paraId="15DA8C5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生产在使用之前批量挑选验证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不低于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发现，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按照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产品比例计算对应供应商的异物数量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</w:p>
          <w:p w14:paraId="0850368B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异物数量≤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/吨，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7D15D54E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②异物数量＞1个/吨，拒收，因产能问题需让步接收时，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元/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吨扣除挑选费用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  <w:p w14:paraId="7BBC8CCD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卸货及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生产过程中发现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（经生产、品控、采购部门鉴定属实）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发现，按照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00元/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进行扣款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 w14:paraId="0292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1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 w14:paraId="5BF852F2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7F351FF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内源性杂质：≤0.1%</w:t>
            </w:r>
          </w:p>
        </w:tc>
        <w:tc>
          <w:tcPr>
            <w:tcW w:w="915" w:type="dxa"/>
            <w:noWrap w:val="0"/>
            <w:vAlign w:val="center"/>
          </w:tcPr>
          <w:p w14:paraId="149420AE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&gt;0.2%</w:t>
            </w:r>
          </w:p>
        </w:tc>
        <w:tc>
          <w:tcPr>
            <w:tcW w:w="1766" w:type="dxa"/>
            <w:vMerge w:val="continue"/>
            <w:noWrap w:val="0"/>
            <w:vAlign w:val="center"/>
          </w:tcPr>
          <w:p w14:paraId="6D2A85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58FD3D6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达到让步接收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按货值扣款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即（实测数据-0.1%）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×货值进行扣款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 w14:paraId="78AF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91" w:hRule="atLeast"/>
          <w:jc w:val="center"/>
        </w:trPr>
        <w:tc>
          <w:tcPr>
            <w:tcW w:w="945" w:type="dxa"/>
            <w:noWrap w:val="0"/>
            <w:vAlign w:val="center"/>
          </w:tcPr>
          <w:p w14:paraId="12A308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含沙量/(g/kg)</w:t>
            </w:r>
          </w:p>
        </w:tc>
        <w:tc>
          <w:tcPr>
            <w:tcW w:w="1399" w:type="dxa"/>
            <w:noWrap w:val="0"/>
            <w:vAlign w:val="center"/>
          </w:tcPr>
          <w:p w14:paraId="761DD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≤0.0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 w14:paraId="398B9D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＞0.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02</w:t>
            </w:r>
          </w:p>
        </w:tc>
        <w:tc>
          <w:tcPr>
            <w:tcW w:w="1766" w:type="dxa"/>
            <w:noWrap w:val="0"/>
            <w:vAlign w:val="center"/>
          </w:tcPr>
          <w:p w14:paraId="3809C2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每车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取样品1-2kg，冲洗，沉降、过滤、烘干、称量、计算。</w:t>
            </w:r>
          </w:p>
        </w:tc>
        <w:tc>
          <w:tcPr>
            <w:tcW w:w="4657" w:type="dxa"/>
            <w:noWrap w:val="0"/>
            <w:vAlign w:val="center"/>
          </w:tcPr>
          <w:p w14:paraId="0FB2C1D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达到让步接收，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按货值扣款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实测数据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-0.0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）×货值进行扣款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 w14:paraId="2B87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91" w:hRule="atLeast"/>
          <w:jc w:val="center"/>
        </w:trPr>
        <w:tc>
          <w:tcPr>
            <w:tcW w:w="9682" w:type="dxa"/>
            <w:gridSpan w:val="5"/>
            <w:noWrap w:val="0"/>
            <w:vAlign w:val="center"/>
          </w:tcPr>
          <w:p w14:paraId="5AA11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备注：</w:t>
            </w:r>
          </w:p>
          <w:p w14:paraId="0BE59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1、外源性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恶性异物是指：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动物及残骸、药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/食品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残骸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或非食用物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、烟头、创口贴、布条、羽毛、药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/食品包装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瓶（袋）、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纱布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、金属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（碎屑不计）、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玻璃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、硬塑料（胶）块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/条等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异物。</w:t>
            </w:r>
          </w:p>
          <w:p w14:paraId="0E3B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外源性一般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异物：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小型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昆虫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或幼虫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、瓷砖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石头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/水泥块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竹块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、木块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泡沫块、软胶块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、毛发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塑料丝、线绳、塑料膜、地膜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3mm以下金属碎屑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异物。</w:t>
            </w:r>
          </w:p>
          <w:p w14:paraId="491CF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内源性杂质是指：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蚕豆壳、秸秆及玉米、黄豆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农作物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。</w:t>
            </w:r>
          </w:p>
          <w:p w14:paraId="6752B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若出现某种异物未在以上异物分类明细中，经品控、生产风险评估对该异物进行分类、处置。</w:t>
            </w:r>
          </w:p>
          <w:p w14:paraId="678B1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货值是指：单价×数量。</w:t>
            </w:r>
          </w:p>
          <w:p w14:paraId="33F8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异物计算方式：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m吨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验证供应商半成品的异物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n个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，依次作为基础数据n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÷m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吨。</w:t>
            </w:r>
          </w:p>
          <w:p w14:paraId="5C86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异物罚款计算：罚款金额=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÷m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对应的罚款范围×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到货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  <w:p w14:paraId="2B30E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公司终产品在销售期间，被反馈产品夹带异物问题，经追溯来自原料携带，将按照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《产品质量管理奖惩办法》附件5《各类产品质量问题责任比例划分明细表》追究相关原料供应商直接责任。</w:t>
            </w:r>
          </w:p>
        </w:tc>
      </w:tr>
    </w:tbl>
    <w:p w14:paraId="3F0F9D7F">
      <w:pPr>
        <w:spacing w:line="220" w:lineRule="atLeast"/>
        <w:rPr>
          <w:rFonts w:hint="default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 xml:space="preserve"> </w:t>
      </w:r>
    </w:p>
    <w:p w14:paraId="56758E35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AB4A2"/>
    <w:multiLevelType w:val="singleLevel"/>
    <w:tmpl w:val="2C3AB4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3785422"/>
    <w:rsid w:val="042674CF"/>
    <w:rsid w:val="048205F1"/>
    <w:rsid w:val="068878BC"/>
    <w:rsid w:val="06951F4A"/>
    <w:rsid w:val="09231F92"/>
    <w:rsid w:val="0A612F85"/>
    <w:rsid w:val="0AB96FC5"/>
    <w:rsid w:val="0B4C4AD3"/>
    <w:rsid w:val="0D695E6C"/>
    <w:rsid w:val="0F101BEE"/>
    <w:rsid w:val="144A343B"/>
    <w:rsid w:val="17B433EB"/>
    <w:rsid w:val="1928402F"/>
    <w:rsid w:val="1BA167A3"/>
    <w:rsid w:val="1CD324D7"/>
    <w:rsid w:val="1E601F79"/>
    <w:rsid w:val="1EA93364"/>
    <w:rsid w:val="1EF63B16"/>
    <w:rsid w:val="1FA2541E"/>
    <w:rsid w:val="22F07537"/>
    <w:rsid w:val="234F4AF9"/>
    <w:rsid w:val="25FF62B2"/>
    <w:rsid w:val="27B110A5"/>
    <w:rsid w:val="28487262"/>
    <w:rsid w:val="294136F0"/>
    <w:rsid w:val="299032EE"/>
    <w:rsid w:val="29F41DB0"/>
    <w:rsid w:val="2AA2315A"/>
    <w:rsid w:val="2B8D41B4"/>
    <w:rsid w:val="2C514393"/>
    <w:rsid w:val="2D0D5B51"/>
    <w:rsid w:val="30E734C3"/>
    <w:rsid w:val="3247534E"/>
    <w:rsid w:val="32845AD2"/>
    <w:rsid w:val="358D37C5"/>
    <w:rsid w:val="363D3BCE"/>
    <w:rsid w:val="3CFC6101"/>
    <w:rsid w:val="3D056ABF"/>
    <w:rsid w:val="3D5174C5"/>
    <w:rsid w:val="3DCB5E3C"/>
    <w:rsid w:val="3F3850A3"/>
    <w:rsid w:val="3F7A41CD"/>
    <w:rsid w:val="40FF70AA"/>
    <w:rsid w:val="439E6549"/>
    <w:rsid w:val="456A30F7"/>
    <w:rsid w:val="46623F73"/>
    <w:rsid w:val="46CB194D"/>
    <w:rsid w:val="48930B7A"/>
    <w:rsid w:val="4BE3428E"/>
    <w:rsid w:val="4C2136DF"/>
    <w:rsid w:val="4C357CFF"/>
    <w:rsid w:val="517D2BAC"/>
    <w:rsid w:val="536964DD"/>
    <w:rsid w:val="5A9247D0"/>
    <w:rsid w:val="5C2E1F5F"/>
    <w:rsid w:val="5D311F84"/>
    <w:rsid w:val="5D4B44C8"/>
    <w:rsid w:val="5EAC50CE"/>
    <w:rsid w:val="61033A75"/>
    <w:rsid w:val="61D06D34"/>
    <w:rsid w:val="632F3405"/>
    <w:rsid w:val="63E5638C"/>
    <w:rsid w:val="641A44FC"/>
    <w:rsid w:val="64483C57"/>
    <w:rsid w:val="64E543D8"/>
    <w:rsid w:val="653E062F"/>
    <w:rsid w:val="66AF4152"/>
    <w:rsid w:val="671D56C3"/>
    <w:rsid w:val="673002CC"/>
    <w:rsid w:val="67A54502"/>
    <w:rsid w:val="68863FA3"/>
    <w:rsid w:val="693135E7"/>
    <w:rsid w:val="69B93C5E"/>
    <w:rsid w:val="6B3E36E3"/>
    <w:rsid w:val="6B57511E"/>
    <w:rsid w:val="6BAE3610"/>
    <w:rsid w:val="709336CA"/>
    <w:rsid w:val="744C2416"/>
    <w:rsid w:val="75614188"/>
    <w:rsid w:val="77706313"/>
    <w:rsid w:val="788E35D8"/>
    <w:rsid w:val="793714EE"/>
    <w:rsid w:val="7BF53FB2"/>
    <w:rsid w:val="7C1E171A"/>
    <w:rsid w:val="7CC52AE6"/>
    <w:rsid w:val="7EB7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1986</Words>
  <Characters>2231</Characters>
  <Lines>0</Lines>
  <Paragraphs>0</Paragraphs>
  <TotalTime>0</TotalTime>
  <ScaleCrop>false</ScaleCrop>
  <LinksUpToDate>false</LinksUpToDate>
  <CharactersWithSpaces>2288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乐东</cp:lastModifiedBy>
  <cp:lastPrinted>2025-07-25T01:46:00Z</cp:lastPrinted>
  <dcterms:modified xsi:type="dcterms:W3CDTF">2025-10-22T05:36:58Z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EA3A62BE0C8A440C8D100141BBF731D8_13</vt:lpwstr>
  </property>
  <property fmtid="{D5CDD505-2E9C-101B-9397-08002B2CF9AE}" pid="4" name="KSOTemplateDocerSaveRecord">
    <vt:lpwstr>eyJoZGlkIjoiMTcyOGFkNGU0NzUxNDdhM2VmN2ZmOGQxZjBhMjVmNWUiLCJ1c2VySWQiOiI1MjY1MjI0MDcifQ==</vt:lpwstr>
  </property>
</Properties>
</file>