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基础原料5号-1（甜瓣子）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项目报价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8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月-202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月。</w:t>
      </w:r>
    </w:p>
    <w:p w14:paraId="6C59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包装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包装方式符合食品安全，如用PE袋或者转运桶等包装运输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，由我司负责卸货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熊先生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15700497232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3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888"/>
        <w:gridCol w:w="4548"/>
        <w:gridCol w:w="936"/>
        <w:gridCol w:w="848"/>
        <w:gridCol w:w="816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技术要求及验收标准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</w:t>
            </w:r>
          </w:p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基础原料5号-1</w:t>
            </w:r>
          </w:p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（甜瓣子）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7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保温发酵时间≥2个月，所提供为精选异物的产品。</w:t>
            </w:r>
          </w:p>
          <w:p w14:paraId="721F9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>无盐固形物/（g/100g）≥35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，水分/（g/100g） ≤50，食用盐（以氯化钠计）/（g/100g）为13-15；   总酸（以乳酸计）/（g/100g）≤2，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氨基酸态氮（以N计）/（g/100）≥0.5。 </w:t>
            </w:r>
          </w:p>
          <w:p w14:paraId="4BC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13%普通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货到验收合格票到后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30日内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若报价高于限价，报价无效。③招标人在工作日进行询价，2次未接招标人电话的情况，以报价单上价格为最终报价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2B83DE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     年    月    日</w:t>
      </w:r>
    </w:p>
    <w:p w14:paraId="1F9C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3B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需其他文件，如：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食品生产许可证等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）。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四、报价单填写要求：请勿修改询价单中格式、内容，否则视为无效报价。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1178693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E49478D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7AE3BE6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BD8C52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4F93A7C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312F27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EFB57E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beforeLines="50" w:after="120" w:afterLines="50" w:line="440" w:lineRule="exact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供货商资质要求</w:t>
      </w:r>
    </w:p>
    <w:p w14:paraId="1C23EC67">
      <w:pPr>
        <w:numPr>
          <w:ilvl w:val="0"/>
          <w:numId w:val="2"/>
        </w:numPr>
        <w:spacing w:beforeLines="50" w:afterLines="50" w:line="440" w:lineRule="exact"/>
        <w:ind w:firstLine="660" w:firstLineChars="275"/>
        <w:jc w:val="left"/>
        <w:rPr>
          <w:rFonts w:hint="eastAsia" w:ascii="仿宋" w:hAnsi="仿宋" w:eastAsia="仿宋" w:cs="仿宋"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供应商提供有效的营业执照及其它纳入强制许可的证照（如食品生产许可证副本及许可品种明细表）的复印件并加盖公司鲜章；如取得了其它与质量有关的证书（如ISO9001、ISO22000、绿色食品证等），应一并提供。</w:t>
      </w:r>
    </w:p>
    <w:p w14:paraId="53C2BAA8">
      <w:pPr>
        <w:numPr>
          <w:ilvl w:val="0"/>
          <w:numId w:val="2"/>
        </w:numPr>
        <w:spacing w:beforeLines="50" w:afterLines="50" w:line="440" w:lineRule="exact"/>
        <w:ind w:firstLine="660" w:firstLineChars="275"/>
        <w:jc w:val="left"/>
        <w:rPr>
          <w:rFonts w:hint="eastAsia" w:ascii="仿宋" w:hAnsi="仿宋" w:eastAsia="仿宋" w:cs="仿宋"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每年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  <w:lang w:val="en-US" w:eastAsia="zh-CN"/>
        </w:rPr>
        <w:t>提供第三方检验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highlight w:val="none"/>
        </w:rPr>
        <w:t>报告一份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可由公司代为抽样送检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，每批次产品提供出厂检验报告单。</w:t>
      </w:r>
    </w:p>
    <w:p w14:paraId="4BF83EB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beforeLines="50" w:after="120" w:afterLines="50" w:line="440" w:lineRule="exact"/>
        <w:outlineLvl w:val="9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、运输、包装、出厂检验报告要求</w:t>
      </w:r>
    </w:p>
    <w:tbl>
      <w:tblPr>
        <w:tblStyle w:val="3"/>
        <w:tblW w:w="10127" w:type="dxa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0"/>
        <w:gridCol w:w="4455"/>
        <w:gridCol w:w="1230"/>
        <w:gridCol w:w="2897"/>
      </w:tblGrid>
      <w:tr w14:paraId="2507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2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4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5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检测频率及方法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处罚方式及标准</w:t>
            </w:r>
          </w:p>
        </w:tc>
      </w:tr>
      <w:tr w14:paraId="2F96C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B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0BD7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运输车辆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6C58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1）运输车辆车厢应保持清洁、卫生、无泥沙；</w:t>
            </w:r>
          </w:p>
          <w:p w14:paraId="7075D905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2）不得与有碍食品安全和卫生的物品（如家禽、家畜、农药等）混运；</w:t>
            </w:r>
          </w:p>
          <w:p w14:paraId="408F7557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3）运输途中有防护措施，防止产品被污染（防异物、防渗漏、防虫害、防雨水等情况）；</w:t>
            </w:r>
          </w:p>
          <w:p w14:paraId="616C69B8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4）运输包装物及附件（如转运桶），卸完货后应返回到送货车辆过磅除皮，相关物料在厂区外自行处理；</w:t>
            </w:r>
          </w:p>
          <w:p w14:paraId="7C25047A">
            <w:pPr>
              <w:spacing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5）除皮过磅时严禁水箱放水。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C8D9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每批，目测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F73F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1）不符合第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1—3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条的，予以拒收，同时按500元/车的标准给于罚款；</w:t>
            </w:r>
          </w:p>
          <w:p w14:paraId="408F384C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2）不符合第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条的，加上包装及运输附件后二次过磅；</w:t>
            </w:r>
          </w:p>
          <w:p w14:paraId="71ED6819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3）不符合第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条的，采取将水箱灌满水后二次过磅除皮，并处罚款1000元。</w:t>
            </w:r>
          </w:p>
        </w:tc>
      </w:tr>
      <w:tr w14:paraId="5DFD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C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DA8A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包装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1BD9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产品包装可采用袋装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（严禁内、外袋使用编织袋）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、桶装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、罐车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，与产品直接接触部分不应给产品带来食品安全隐患，塑料材质的包装需提供包装物塑化剂检测报告；</w:t>
            </w:r>
          </w:p>
          <w:p w14:paraId="3448BAD0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包装材料和器具应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符合食品安全要求，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干净、无异味、无破损，无异物夹带隐患。</w:t>
            </w:r>
          </w:p>
          <w:p w14:paraId="5BAAD13D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采用散装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罐车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包装容器，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进料口、出料口应有对应的签封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，并提供前三车车载货物、清洗证明，所有运输容器须提供对应产品标签。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F3F6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每批，目测、鼻嗅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A189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包装不符合标准要求，并存在食品安全隐患的，拒收。</w:t>
            </w:r>
          </w:p>
        </w:tc>
      </w:tr>
      <w:tr w14:paraId="7E1F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7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4875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出厂检验报告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A99E">
            <w:pPr>
              <w:spacing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每一批需提供合格检验报告，检验报告项目包含：产品名称、配料、生产日期、规格、数量、感官、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</w:rPr>
              <w:t>水分、食盐、总酸、氨基酸态氮、无盐固形物、杂质、黄曲霉毒素B1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8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每批，对照检测项目及结果核查。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E9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1）检验报告不符合要求，每次罚款100元。</w:t>
            </w:r>
          </w:p>
          <w:p w14:paraId="273158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检验报告，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拒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收。</w:t>
            </w:r>
          </w:p>
        </w:tc>
      </w:tr>
    </w:tbl>
    <w:p w14:paraId="59A689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440" w:lineRule="exact"/>
        <w:outlineLvl w:val="9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三、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质量指标</w:t>
      </w:r>
    </w:p>
    <w:p w14:paraId="5EA62A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40" w:lineRule="exact"/>
        <w:outlineLvl w:val="9"/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lang w:val="en-US" w:eastAsia="zh-CN"/>
        </w:rPr>
      </w:pPr>
    </w:p>
    <w:p w14:paraId="745515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40" w:lineRule="exact"/>
        <w:outlineLvl w:val="9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感官要求</w:t>
      </w:r>
    </w:p>
    <w:tbl>
      <w:tblPr>
        <w:tblStyle w:val="3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355"/>
        <w:gridCol w:w="2370"/>
        <w:gridCol w:w="1877"/>
        <w:gridCol w:w="2488"/>
      </w:tblGrid>
      <w:tr w14:paraId="2C6A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22" w:type="dxa"/>
            <w:vMerge w:val="restart"/>
            <w:noWrap w:val="0"/>
            <w:vAlign w:val="center"/>
          </w:tcPr>
          <w:p w14:paraId="171AAAE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bookmarkStart w:id="0" w:name="OLE_LINK23"/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项  目</w:t>
            </w:r>
          </w:p>
        </w:tc>
        <w:tc>
          <w:tcPr>
            <w:tcW w:w="4725" w:type="dxa"/>
            <w:gridSpan w:val="2"/>
            <w:noWrap w:val="0"/>
            <w:vAlign w:val="center"/>
          </w:tcPr>
          <w:p w14:paraId="6528302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标准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 w14:paraId="09EA78D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方法</w:t>
            </w:r>
          </w:p>
        </w:tc>
        <w:tc>
          <w:tcPr>
            <w:tcW w:w="2488" w:type="dxa"/>
            <w:vMerge w:val="restart"/>
            <w:noWrap w:val="0"/>
            <w:vAlign w:val="center"/>
          </w:tcPr>
          <w:p w14:paraId="46E099C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处罚方式及标准</w:t>
            </w:r>
          </w:p>
        </w:tc>
      </w:tr>
      <w:tr w14:paraId="4ADA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 w14:paraId="64EA193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3B1C1E7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基础原料5号-1</w:t>
            </w:r>
          </w:p>
        </w:tc>
        <w:tc>
          <w:tcPr>
            <w:tcW w:w="2370" w:type="dxa"/>
            <w:noWrap w:val="0"/>
            <w:vAlign w:val="center"/>
          </w:tcPr>
          <w:p w14:paraId="1DA9DE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基础原料5号-2</w:t>
            </w:r>
          </w:p>
        </w:tc>
        <w:tc>
          <w:tcPr>
            <w:tcW w:w="1877" w:type="dxa"/>
            <w:vMerge w:val="continue"/>
            <w:noWrap w:val="0"/>
            <w:vAlign w:val="center"/>
          </w:tcPr>
          <w:p w14:paraId="4F65BCA7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 w14:paraId="2B257106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CE3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2" w:type="dxa"/>
            <w:noWrap w:val="0"/>
            <w:vAlign w:val="center"/>
          </w:tcPr>
          <w:p w14:paraId="6B42E74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色泽</w:t>
            </w:r>
          </w:p>
        </w:tc>
        <w:tc>
          <w:tcPr>
            <w:tcW w:w="2355" w:type="dxa"/>
            <w:noWrap w:val="0"/>
            <w:vAlign w:val="center"/>
          </w:tcPr>
          <w:p w14:paraId="186B23E5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棕色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至浅棕褐色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、有光泽</w:t>
            </w:r>
          </w:p>
        </w:tc>
        <w:tc>
          <w:tcPr>
            <w:tcW w:w="2370" w:type="dxa"/>
            <w:noWrap w:val="0"/>
            <w:vAlign w:val="center"/>
          </w:tcPr>
          <w:p w14:paraId="5B7FAF51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棕褐色、有光泽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 w14:paraId="2BF2BDAF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每车，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取适量样品放置于白色瓷盘内，在充足的自然光线下，目测色泽、组织形态/性状，嗅其气味，尝其滋味，检查有无杂质。</w:t>
            </w:r>
          </w:p>
        </w:tc>
        <w:tc>
          <w:tcPr>
            <w:tcW w:w="2488" w:type="dxa"/>
            <w:vMerge w:val="restart"/>
            <w:noWrap w:val="0"/>
            <w:vAlign w:val="center"/>
          </w:tcPr>
          <w:p w14:paraId="2D37066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1）超过标准，并与样品差异较大的，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拒收处理；</w:t>
            </w:r>
          </w:p>
          <w:p w14:paraId="294BC12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不符合标准要求，但未达到拒收的，经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技术中心、生产综合判定后，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按50-200元/吨进行扣款让步接收。</w:t>
            </w:r>
          </w:p>
        </w:tc>
      </w:tr>
      <w:tr w14:paraId="0AA0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2" w:type="dxa"/>
            <w:noWrap w:val="0"/>
            <w:vAlign w:val="center"/>
          </w:tcPr>
          <w:p w14:paraId="2E483A9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组织形态性状</w:t>
            </w:r>
          </w:p>
        </w:tc>
        <w:tc>
          <w:tcPr>
            <w:tcW w:w="2355" w:type="dxa"/>
            <w:noWrap w:val="0"/>
            <w:vAlign w:val="center"/>
          </w:tcPr>
          <w:p w14:paraId="023636B2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瓣粒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无结团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、无腻滑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酱汁浓稠</w:t>
            </w:r>
          </w:p>
        </w:tc>
        <w:tc>
          <w:tcPr>
            <w:tcW w:w="2370" w:type="dxa"/>
            <w:noWrap w:val="0"/>
            <w:vAlign w:val="center"/>
          </w:tcPr>
          <w:p w14:paraId="4F63FF6C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瓣粒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无结团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、无腻滑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酱汁浓稠</w:t>
            </w:r>
          </w:p>
        </w:tc>
        <w:tc>
          <w:tcPr>
            <w:tcW w:w="1877" w:type="dxa"/>
            <w:vMerge w:val="continue"/>
            <w:noWrap w:val="0"/>
            <w:vAlign w:val="center"/>
          </w:tcPr>
          <w:p w14:paraId="10F3DE8D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 w14:paraId="1CD0EEEC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27B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122" w:type="dxa"/>
            <w:noWrap w:val="0"/>
            <w:vAlign w:val="center"/>
          </w:tcPr>
          <w:p w14:paraId="3A0A6EC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滋、气味</w:t>
            </w:r>
          </w:p>
        </w:tc>
        <w:tc>
          <w:tcPr>
            <w:tcW w:w="2355" w:type="dxa"/>
            <w:noWrap w:val="0"/>
            <w:vAlign w:val="center"/>
          </w:tcPr>
          <w:p w14:paraId="67762385">
            <w:pPr>
              <w:spacing w:line="240" w:lineRule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有酱酯香、甜香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该物料特有香气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，味鲜、回味悠长，酥脆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无发霉、酸腐等异味。</w:t>
            </w:r>
          </w:p>
        </w:tc>
        <w:tc>
          <w:tcPr>
            <w:tcW w:w="2370" w:type="dxa"/>
            <w:noWrap w:val="0"/>
            <w:vAlign w:val="center"/>
          </w:tcPr>
          <w:p w14:paraId="352497AD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酱酯香浓郁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该物料特有香气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，味鲜、回味悠长，酥脆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无发霉、酸腐等异味。</w:t>
            </w:r>
          </w:p>
        </w:tc>
        <w:tc>
          <w:tcPr>
            <w:tcW w:w="1877" w:type="dxa"/>
            <w:vMerge w:val="continue"/>
            <w:noWrap w:val="0"/>
            <w:vAlign w:val="center"/>
          </w:tcPr>
          <w:p w14:paraId="7DFCB8BB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 w14:paraId="78299DC7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424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2" w:type="dxa"/>
            <w:noWrap w:val="0"/>
            <w:vAlign w:val="center"/>
          </w:tcPr>
          <w:p w14:paraId="4F8CF72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9090" w:type="dxa"/>
            <w:gridSpan w:val="4"/>
            <w:noWrap w:val="0"/>
            <w:vAlign w:val="center"/>
          </w:tcPr>
          <w:p w14:paraId="3AE3E792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若感官指标按本表所列要求与检验方法进行判定出现争议，可参考按规定确认的封存的样品对比判定。</w:t>
            </w:r>
          </w:p>
        </w:tc>
      </w:tr>
      <w:bookmarkEnd w:id="0"/>
    </w:tbl>
    <w:p w14:paraId="56EB39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440" w:lineRule="exact"/>
        <w:outlineLvl w:val="9"/>
        <w:rPr>
          <w:rFonts w:hint="eastAsia" w:ascii="仿宋" w:hAnsi="仿宋" w:eastAsia="仿宋" w:cs="仿宋"/>
          <w:b/>
          <w:bCs w:val="0"/>
          <w:sz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二）</w:t>
      </w:r>
      <w:r>
        <w:rPr>
          <w:rFonts w:hint="eastAsia" w:ascii="仿宋" w:hAnsi="仿宋" w:eastAsia="仿宋" w:cs="仿宋"/>
          <w:b/>
          <w:bCs w:val="0"/>
          <w:sz w:val="24"/>
          <w:highlight w:val="none"/>
          <w:lang w:val="en-US" w:eastAsia="zh-CN"/>
        </w:rPr>
        <w:t>理化指标</w:t>
      </w:r>
    </w:p>
    <w:tbl>
      <w:tblPr>
        <w:tblStyle w:val="3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80"/>
        <w:gridCol w:w="1009"/>
        <w:gridCol w:w="950"/>
        <w:gridCol w:w="1097"/>
        <w:gridCol w:w="1354"/>
        <w:gridCol w:w="1572"/>
      </w:tblGrid>
      <w:tr w14:paraId="27F0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4960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   目</w:t>
            </w:r>
          </w:p>
        </w:tc>
        <w:tc>
          <w:tcPr>
            <w:tcW w:w="11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900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基础原料5号-1指标</w:t>
            </w:r>
          </w:p>
        </w:tc>
        <w:tc>
          <w:tcPr>
            <w:tcW w:w="120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77B8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基础原料5号-2指标</w:t>
            </w:r>
          </w:p>
        </w:tc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B99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方法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A09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处罚方式及标准</w:t>
            </w:r>
          </w:p>
        </w:tc>
      </w:tr>
      <w:tr w14:paraId="3221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258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C355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接收标准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D98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拒收标准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94B4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接收标准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2643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拒收标准</w:t>
            </w:r>
          </w:p>
        </w:tc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5124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939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B8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3D13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总酸（以乳酸计）/（g/100g）</w:t>
            </w:r>
            <w:bookmarkStart w:id="1" w:name="OLE_LINK28"/>
            <w:bookmarkEnd w:id="1"/>
          </w:p>
        </w:tc>
        <w:tc>
          <w:tcPr>
            <w:tcW w:w="57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6D2E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≤2.0</w:t>
            </w: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0D79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＞2.0</w:t>
            </w:r>
          </w:p>
        </w:tc>
        <w:tc>
          <w:tcPr>
            <w:tcW w:w="55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EB58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≤2.0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EED7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＞2.0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847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每车，GB/T 5009.40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6EA8">
            <w:pPr>
              <w:pStyle w:val="6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1）单项达到拒收标准时，一律拒收；</w:t>
            </w:r>
          </w:p>
          <w:p w14:paraId="178E3E5A">
            <w:pPr>
              <w:pStyle w:val="6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2）若水分、食盐指标在让步接收范围内，但无盐固形物达到接收标准时，准予接收，不作处罚。</w:t>
            </w:r>
          </w:p>
        </w:tc>
      </w:tr>
      <w:tr w14:paraId="6016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49DB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氨基酸态氮（以N计）/（g/100g）</w:t>
            </w:r>
            <w:bookmarkStart w:id="2" w:name="OLE_LINK27"/>
            <w:bookmarkEnd w:id="2"/>
          </w:p>
        </w:tc>
        <w:tc>
          <w:tcPr>
            <w:tcW w:w="57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DD6E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≥0.50</w:t>
            </w: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5601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＜0.50</w:t>
            </w:r>
          </w:p>
        </w:tc>
        <w:tc>
          <w:tcPr>
            <w:tcW w:w="55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E60A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≥0.60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5E5F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＜0.60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FCA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每车，GB 5009.235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03FC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C5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64C1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水分/（g/100g）</w:t>
            </w:r>
          </w:p>
        </w:tc>
        <w:tc>
          <w:tcPr>
            <w:tcW w:w="57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F201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≤50.0</w:t>
            </w: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61EE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＞51.5</w:t>
            </w:r>
          </w:p>
        </w:tc>
        <w:tc>
          <w:tcPr>
            <w:tcW w:w="55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25B8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≤47.0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D881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＞48.5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5A21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每车，快检/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GB 5009.3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8CD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0E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83F5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食用盐（以氯化钠计）/</w:t>
            </w:r>
            <w:bookmarkStart w:id="3" w:name="OLE_LINK26"/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（g/100g）</w:t>
            </w:r>
            <w:bookmarkEnd w:id="3"/>
          </w:p>
        </w:tc>
        <w:tc>
          <w:tcPr>
            <w:tcW w:w="57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5B63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13-15</w:t>
            </w: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9289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＜12.5，</w:t>
            </w:r>
          </w:p>
          <w:p w14:paraId="2323F00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＞15.5</w:t>
            </w:r>
          </w:p>
        </w:tc>
        <w:tc>
          <w:tcPr>
            <w:tcW w:w="55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0EB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13-15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7042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＜12.5，</w:t>
            </w:r>
          </w:p>
          <w:p w14:paraId="41A798F1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＞15.5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C3D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每车，GB 5009.44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355C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8D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E547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无盐固形物/（g/100g）</w:t>
            </w:r>
          </w:p>
        </w:tc>
        <w:tc>
          <w:tcPr>
            <w:tcW w:w="57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E55E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≥35.0</w:t>
            </w: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3F47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＜35.0</w:t>
            </w:r>
          </w:p>
        </w:tc>
        <w:tc>
          <w:tcPr>
            <w:tcW w:w="55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5150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≥38.0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D45C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＜38.0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5531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每车，计算值(100-水分值-食盐值)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D61C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E3F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AC52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黄曲霉毒素B/(μg/kg)</w:t>
            </w:r>
          </w:p>
        </w:tc>
        <w:tc>
          <w:tcPr>
            <w:tcW w:w="57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4EB9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≤3.0</w:t>
            </w:r>
          </w:p>
        </w:tc>
        <w:tc>
          <w:tcPr>
            <w:tcW w:w="59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65E0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＞3.0</w:t>
            </w:r>
          </w:p>
        </w:tc>
        <w:tc>
          <w:tcPr>
            <w:tcW w:w="55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FBEE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≤3.0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3308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＞3.0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75C1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每车，GB 5009.22</w:t>
            </w:r>
          </w:p>
        </w:tc>
        <w:tc>
          <w:tcPr>
            <w:tcW w:w="9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997C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1827D7E">
      <w:pPr>
        <w:numPr>
          <w:ilvl w:val="0"/>
          <w:numId w:val="0"/>
        </w:numPr>
        <w:spacing w:beforeLines="50" w:afterLines="50" w:line="440" w:lineRule="exact"/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  <w:t>杂质与异物标准</w:t>
      </w:r>
    </w:p>
    <w:tbl>
      <w:tblPr>
        <w:tblStyle w:val="3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45"/>
        <w:gridCol w:w="1399"/>
        <w:gridCol w:w="915"/>
        <w:gridCol w:w="1766"/>
        <w:gridCol w:w="4657"/>
      </w:tblGrid>
      <w:tr w14:paraId="3D5D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3" w:hRule="exact"/>
          <w:jc w:val="center"/>
        </w:trPr>
        <w:tc>
          <w:tcPr>
            <w:tcW w:w="945" w:type="dxa"/>
            <w:noWrap w:val="0"/>
            <w:vAlign w:val="center"/>
          </w:tcPr>
          <w:p w14:paraId="5DEC80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验收项目</w:t>
            </w:r>
          </w:p>
        </w:tc>
        <w:tc>
          <w:tcPr>
            <w:tcW w:w="1399" w:type="dxa"/>
            <w:noWrap w:val="0"/>
            <w:vAlign w:val="center"/>
          </w:tcPr>
          <w:p w14:paraId="0E33F0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接收标准</w:t>
            </w:r>
          </w:p>
        </w:tc>
        <w:tc>
          <w:tcPr>
            <w:tcW w:w="915" w:type="dxa"/>
            <w:noWrap w:val="0"/>
            <w:vAlign w:val="center"/>
          </w:tcPr>
          <w:p w14:paraId="14650B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拒收标准</w:t>
            </w:r>
          </w:p>
        </w:tc>
        <w:tc>
          <w:tcPr>
            <w:tcW w:w="1766" w:type="dxa"/>
            <w:noWrap w:val="0"/>
            <w:vAlign w:val="center"/>
          </w:tcPr>
          <w:p w14:paraId="2C2391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方法</w:t>
            </w:r>
          </w:p>
        </w:tc>
        <w:tc>
          <w:tcPr>
            <w:tcW w:w="4657" w:type="dxa"/>
            <w:noWrap w:val="0"/>
            <w:vAlign w:val="center"/>
          </w:tcPr>
          <w:p w14:paraId="6C0EBB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处罚方式及标准</w:t>
            </w:r>
          </w:p>
        </w:tc>
      </w:tr>
      <w:tr w14:paraId="5CE1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9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 w14:paraId="611C6381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异物</w:t>
            </w:r>
          </w:p>
        </w:tc>
        <w:tc>
          <w:tcPr>
            <w:tcW w:w="1399" w:type="dxa"/>
            <w:noWrap w:val="0"/>
            <w:vAlign w:val="center"/>
          </w:tcPr>
          <w:p w14:paraId="4BC63458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  <w:t>出现。</w:t>
            </w:r>
          </w:p>
          <w:p w14:paraId="71906FFB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9375906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1BB5E26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抽检</w:t>
            </w:r>
          </w:p>
          <w:p w14:paraId="5A2848DF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出现</w:t>
            </w:r>
          </w:p>
        </w:tc>
        <w:tc>
          <w:tcPr>
            <w:tcW w:w="1766" w:type="dxa"/>
            <w:vMerge w:val="restart"/>
            <w:noWrap w:val="0"/>
            <w:vAlign w:val="center"/>
          </w:tcPr>
          <w:p w14:paraId="145156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每车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，随机抽取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5个点位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kg以上的样本量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批量挑选验证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4657" w:type="dxa"/>
            <w:noWrap w:val="0"/>
            <w:vAlign w:val="center"/>
          </w:tcPr>
          <w:p w14:paraId="677CE57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抽样检验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批量挑选验证过程中超过标准，拒收处理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  <w:p w14:paraId="4C86EC1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卸货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动物及残骸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照100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00元/个扣款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其它恶性异物按照1000元/个扣款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（未卸完的货拒收）；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已下的货按照100元/吨扣除挑选费用。</w:t>
            </w:r>
          </w:p>
          <w:p w14:paraId="2CB780E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  <w:t>后期生产过程中检出恶性异物，且经鉴定确该异物来源于本批物料，供方需承担由此产生的物料挑选、报废、转运、误工等相关费用，如超过验收阶段恶性异物扣款金额，供方需补足差额。</w:t>
            </w:r>
          </w:p>
        </w:tc>
      </w:tr>
      <w:tr w14:paraId="459C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88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 w14:paraId="62542FF2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4014670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出现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15" w:type="dxa"/>
            <w:noWrap w:val="0"/>
            <w:vAlign w:val="center"/>
          </w:tcPr>
          <w:p w14:paraId="66DAC446">
            <w:pPr>
              <w:spacing w:before="75" w:line="219" w:lineRule="auto"/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01E024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抽检</w:t>
            </w:r>
          </w:p>
          <w:p w14:paraId="4193F77A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出现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 w14:paraId="490AB4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2AC914A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抽样检验过程中超过标准，拒收处理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  <w:p w14:paraId="0674B1C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生产在使用之前批量挑选验证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不低于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400kg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发现，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按照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产品比例计算对应供应商的异物数量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  <w:p w14:paraId="1520A071">
            <w:p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①7mm以下金属碎屑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异物≤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＞20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/吨，按照[（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-20）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到货总吨数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]进行扣款；</w:t>
            </w:r>
          </w:p>
          <w:p w14:paraId="04B2410D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②其他一般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＜2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2F4E8059">
            <w:p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③2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≤其他一般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≤3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元/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吨进行扣款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  <w:p w14:paraId="07DF210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④其他一般异物数量＞3个，拒收。</w:t>
            </w:r>
          </w:p>
          <w:p w14:paraId="380EB97F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卸货及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发现，按照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00元/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  <w:tr w14:paraId="1EE0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1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 w14:paraId="5CF25240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42E06A1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内源性杂质：≤0.1%</w:t>
            </w:r>
          </w:p>
        </w:tc>
        <w:tc>
          <w:tcPr>
            <w:tcW w:w="915" w:type="dxa"/>
            <w:noWrap w:val="0"/>
            <w:vAlign w:val="center"/>
          </w:tcPr>
          <w:p w14:paraId="35B21C89">
            <w:pPr>
              <w:spacing w:before="75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&gt;0.2%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 w14:paraId="67127C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55650FB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达到让步接收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按货值扣款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即（实测数据-0.1%）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×货值进行扣款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  <w:tr w14:paraId="4BC0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1" w:hRule="atLeast"/>
          <w:jc w:val="center"/>
        </w:trPr>
        <w:tc>
          <w:tcPr>
            <w:tcW w:w="945" w:type="dxa"/>
            <w:noWrap w:val="0"/>
            <w:vAlign w:val="center"/>
          </w:tcPr>
          <w:p w14:paraId="0231E4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含沙量/(g/kg)</w:t>
            </w:r>
          </w:p>
        </w:tc>
        <w:tc>
          <w:tcPr>
            <w:tcW w:w="1399" w:type="dxa"/>
            <w:noWrap w:val="0"/>
            <w:vAlign w:val="center"/>
          </w:tcPr>
          <w:p w14:paraId="27C275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≤0.0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 w14:paraId="30CF38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＞0.</w:t>
            </w: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1766" w:type="dxa"/>
            <w:noWrap w:val="0"/>
            <w:vAlign w:val="center"/>
          </w:tcPr>
          <w:p w14:paraId="0FE45B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每车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取样品1-2kg，冲洗，沉降、过滤、烘干、称量、计算。</w:t>
            </w:r>
          </w:p>
        </w:tc>
        <w:tc>
          <w:tcPr>
            <w:tcW w:w="4657" w:type="dxa"/>
            <w:noWrap w:val="0"/>
            <w:vAlign w:val="center"/>
          </w:tcPr>
          <w:p w14:paraId="621BEB7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达到让步接收，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按货值扣款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实测数据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-0.0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）×货值进行扣款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  <w:tr w14:paraId="312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1" w:hRule="atLeast"/>
          <w:jc w:val="center"/>
        </w:trPr>
        <w:tc>
          <w:tcPr>
            <w:tcW w:w="9682" w:type="dxa"/>
            <w:gridSpan w:val="5"/>
            <w:noWrap w:val="0"/>
            <w:vAlign w:val="center"/>
          </w:tcPr>
          <w:p w14:paraId="3960C01D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备注：</w:t>
            </w:r>
          </w:p>
          <w:p w14:paraId="3BB5AE18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1、外源性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恶性异物是指：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动物及残骸、药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/食品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残骸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或非食用物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、烟头、创口贴、布条、羽毛、药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/食品包装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瓶（袋）、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纱布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、金属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（碎屑不计）、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玻璃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、硬塑料（胶）块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/条等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异物。</w:t>
            </w:r>
          </w:p>
          <w:p w14:paraId="1DCAADA9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小型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昆虫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或幼虫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、瓷砖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石头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/水泥块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竹块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、木块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泡沫块、软胶块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、毛发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塑料丝、线绳、塑料膜、地膜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7mm以下金属碎屑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异物。</w:t>
            </w:r>
          </w:p>
          <w:p w14:paraId="2234903B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内源性杂质是指：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蚕豆壳、秸秆及玉米、黄豆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农作物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。</w:t>
            </w:r>
          </w:p>
          <w:p w14:paraId="640D3179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若出现某种异物未在以上异物分类明细中，经品控、生产风险评估对该异物进行分类、处置。</w:t>
            </w:r>
          </w:p>
          <w:p w14:paraId="02496102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货值是指：单价×数量。</w:t>
            </w:r>
          </w:p>
          <w:p w14:paraId="4028E8E3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异物计算方式：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验证供应商半成品的异物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n个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，依次作为基础数据n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吨。</w:t>
            </w:r>
          </w:p>
          <w:p w14:paraId="23DFFB80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异物罚款计算：罚款金额=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对应的罚款范围×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到货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  <w:p w14:paraId="3D2FBADE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公司终产品在销售期间，被反馈产品夹带异物问题，经追溯来自原料携带，将按照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《产品质量管理奖惩办法》附件5《各类产品质量问题责任比例划分明细表》追究相关原料供应商直接责任。</w:t>
            </w:r>
          </w:p>
        </w:tc>
      </w:tr>
    </w:tbl>
    <w:p w14:paraId="519E3520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b/>
          <w:i w:val="0"/>
          <w:iCs w:val="0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本标准最终解释权归四川省郫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县豆瓣股份有限公司。</w:t>
      </w:r>
    </w:p>
    <w:p w14:paraId="3DFAB4F8">
      <w:pPr>
        <w:widowControl/>
        <w:spacing w:line="440" w:lineRule="exact"/>
        <w:jc w:val="left"/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</w:rPr>
        <w:t>、微生物限量、致病菌限量和食品安全标准要求</w:t>
      </w:r>
    </w:p>
    <w:p w14:paraId="7F702A79">
      <w:pPr>
        <w:widowControl/>
        <w:spacing w:line="440" w:lineRule="exact"/>
        <w:ind w:firstLine="480"/>
        <w:jc w:val="left"/>
        <w:rPr>
          <w:rFonts w:hint="eastAsia" w:ascii="仿宋" w:hAnsi="仿宋" w:eastAsia="仿宋" w:cs="仿宋"/>
          <w:i w:val="0"/>
          <w:iCs w:val="0"/>
          <w:color w:val="auto"/>
          <w:sz w:val="24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微生物限量、致病菌限量和食品安全指标，须符合食品安全法规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四川省郫县豆瓣股份有限公司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val="en-US" w:eastAsia="zh-CN"/>
        </w:rPr>
        <w:t>基础原料5号预处理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技术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val="en-US" w:eastAsia="zh-CN"/>
        </w:rPr>
        <w:t>要求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eastAsia="zh-CN"/>
        </w:rPr>
        <w:t>》，外检项目涉及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lang w:val="en-US" w:eastAsia="zh-CN"/>
        </w:rPr>
        <w:t>下表内容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</w:rPr>
        <w:t>。</w:t>
      </w:r>
    </w:p>
    <w:p w14:paraId="359078D4">
      <w:pPr>
        <w:spacing w:line="182" w:lineRule="exact"/>
        <w:rPr>
          <w:rFonts w:hint="eastAsia" w:ascii="仿宋" w:hAnsi="仿宋" w:eastAsia="仿宋" w:cs="仿宋"/>
          <w:sz w:val="15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 xml:space="preserve">    </w:t>
      </w:r>
    </w:p>
    <w:tbl>
      <w:tblPr>
        <w:tblStyle w:val="8"/>
        <w:tblW w:w="9702" w:type="dxa"/>
        <w:tblInd w:w="-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5715"/>
        <w:gridCol w:w="1827"/>
      </w:tblGrid>
      <w:tr w14:paraId="5DDE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160" w:type="dxa"/>
            <w:noWrap w:val="0"/>
            <w:vAlign w:val="center"/>
          </w:tcPr>
          <w:p w14:paraId="1285B577">
            <w:pPr>
              <w:pStyle w:val="7"/>
              <w:spacing w:before="65" w:line="215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原料名称</w:t>
            </w:r>
          </w:p>
        </w:tc>
        <w:tc>
          <w:tcPr>
            <w:tcW w:w="5715" w:type="dxa"/>
            <w:noWrap w:val="0"/>
            <w:vAlign w:val="center"/>
          </w:tcPr>
          <w:p w14:paraId="0E25E7B3">
            <w:pPr>
              <w:pStyle w:val="7"/>
              <w:spacing w:before="64" w:line="216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检验项目</w:t>
            </w:r>
          </w:p>
        </w:tc>
        <w:tc>
          <w:tcPr>
            <w:tcW w:w="1827" w:type="dxa"/>
            <w:noWrap w:val="0"/>
            <w:vAlign w:val="center"/>
          </w:tcPr>
          <w:p w14:paraId="4652D4DF">
            <w:pPr>
              <w:pStyle w:val="7"/>
              <w:spacing w:before="64" w:line="216" w:lineRule="auto"/>
              <w:ind w:left="327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检验频次</w:t>
            </w:r>
          </w:p>
        </w:tc>
      </w:tr>
      <w:tr w14:paraId="7C855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60" w:type="dxa"/>
            <w:vMerge w:val="restart"/>
            <w:noWrap w:val="0"/>
            <w:vAlign w:val="center"/>
          </w:tcPr>
          <w:p w14:paraId="4EBB020E">
            <w:pPr>
              <w:widowControl/>
              <w:spacing w:line="440" w:lineRule="exact"/>
              <w:ind w:firstLine="48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  <w:t>成熟瓣子</w:t>
            </w:r>
          </w:p>
        </w:tc>
        <w:tc>
          <w:tcPr>
            <w:tcW w:w="5715" w:type="dxa"/>
            <w:noWrap w:val="0"/>
            <w:vAlign w:val="center"/>
          </w:tcPr>
          <w:p w14:paraId="3D21127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  <w:t>感官、水分、食盐、总酸、氨基酸态氮、无盐固形物、 杂质、黄曲霉毒素B1</w:t>
            </w:r>
          </w:p>
        </w:tc>
        <w:tc>
          <w:tcPr>
            <w:tcW w:w="1827" w:type="dxa"/>
            <w:noWrap w:val="0"/>
            <w:vAlign w:val="center"/>
          </w:tcPr>
          <w:p w14:paraId="4AD00E3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  <w:t>每批</w:t>
            </w:r>
          </w:p>
        </w:tc>
      </w:tr>
      <w:tr w14:paraId="05A2D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2160" w:type="dxa"/>
            <w:vMerge w:val="continue"/>
            <w:noWrap w:val="0"/>
            <w:vAlign w:val="center"/>
          </w:tcPr>
          <w:p w14:paraId="029C6BC3">
            <w:pPr>
              <w:widowControl/>
              <w:spacing w:line="440" w:lineRule="exact"/>
              <w:jc w:val="center"/>
            </w:pPr>
          </w:p>
        </w:tc>
        <w:tc>
          <w:tcPr>
            <w:tcW w:w="5715" w:type="dxa"/>
            <w:noWrap w:val="0"/>
            <w:vAlign w:val="center"/>
          </w:tcPr>
          <w:p w14:paraId="1705504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  <w:t>水分、食盐、总酸、氨基酸态氮、无盐固形物、大肠菌群、沙门氏菌、金黄色葡萄球菌、总砷、铅、镉、黄曲霉毒素B1、敌敌畏、甜蜜素、山梨酸钾、苯甲酸钠、脱氢乙酸及其钠盐、糖精钠、苏丹红I~IV、酸性橙Ⅱ、碱性橙Ⅱ、罗丹明B、塑化剂</w:t>
            </w:r>
          </w:p>
        </w:tc>
        <w:tc>
          <w:tcPr>
            <w:tcW w:w="1827" w:type="dxa"/>
            <w:noWrap w:val="0"/>
            <w:vAlign w:val="center"/>
          </w:tcPr>
          <w:p w14:paraId="6443445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  <w:t>1次/年/供应商</w:t>
            </w:r>
          </w:p>
        </w:tc>
      </w:tr>
    </w:tbl>
    <w:p w14:paraId="3F0F9D7F">
      <w:pPr>
        <w:spacing w:line="220" w:lineRule="atLeast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 </w:t>
      </w:r>
    </w:p>
    <w:p w14:paraId="56758E35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AB4A2"/>
    <w:multiLevelType w:val="singleLevel"/>
    <w:tmpl w:val="2C3AB4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8038CD"/>
    <w:multiLevelType w:val="singleLevel"/>
    <w:tmpl w:val="598038C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0AD3D52"/>
    <w:rsid w:val="03785422"/>
    <w:rsid w:val="042674CF"/>
    <w:rsid w:val="048205F1"/>
    <w:rsid w:val="068878BC"/>
    <w:rsid w:val="06951F4A"/>
    <w:rsid w:val="09231F92"/>
    <w:rsid w:val="0A612F85"/>
    <w:rsid w:val="0AB96FC5"/>
    <w:rsid w:val="0B4C4AD3"/>
    <w:rsid w:val="0D695E6C"/>
    <w:rsid w:val="0F101BEE"/>
    <w:rsid w:val="144A343B"/>
    <w:rsid w:val="17B433EB"/>
    <w:rsid w:val="1928402F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7B110A5"/>
    <w:rsid w:val="28487262"/>
    <w:rsid w:val="294136F0"/>
    <w:rsid w:val="299032EE"/>
    <w:rsid w:val="29F41DB0"/>
    <w:rsid w:val="2AA2315A"/>
    <w:rsid w:val="2B884F0E"/>
    <w:rsid w:val="2B8D41B4"/>
    <w:rsid w:val="2C514393"/>
    <w:rsid w:val="2D0D5B51"/>
    <w:rsid w:val="30E734C3"/>
    <w:rsid w:val="3247534E"/>
    <w:rsid w:val="32845AD2"/>
    <w:rsid w:val="358D37C5"/>
    <w:rsid w:val="363D3BCE"/>
    <w:rsid w:val="3CFC6101"/>
    <w:rsid w:val="3D056ABF"/>
    <w:rsid w:val="3D5174C5"/>
    <w:rsid w:val="3DCB5E3C"/>
    <w:rsid w:val="3F3850A3"/>
    <w:rsid w:val="3F7A41CD"/>
    <w:rsid w:val="40FF70AA"/>
    <w:rsid w:val="439E6549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A9247D0"/>
    <w:rsid w:val="5C063EDE"/>
    <w:rsid w:val="5C2E1F5F"/>
    <w:rsid w:val="5D311F84"/>
    <w:rsid w:val="5D4B44C8"/>
    <w:rsid w:val="5EAC50CE"/>
    <w:rsid w:val="61033A75"/>
    <w:rsid w:val="61D06D34"/>
    <w:rsid w:val="632F3405"/>
    <w:rsid w:val="63E5638C"/>
    <w:rsid w:val="641A44FC"/>
    <w:rsid w:val="64483C57"/>
    <w:rsid w:val="64E543D8"/>
    <w:rsid w:val="653E062F"/>
    <w:rsid w:val="66AF4152"/>
    <w:rsid w:val="671D56C3"/>
    <w:rsid w:val="673002CC"/>
    <w:rsid w:val="67A54502"/>
    <w:rsid w:val="68863FA3"/>
    <w:rsid w:val="693135E7"/>
    <w:rsid w:val="69B93C5E"/>
    <w:rsid w:val="6B3E36E3"/>
    <w:rsid w:val="6B57511E"/>
    <w:rsid w:val="6BAE3610"/>
    <w:rsid w:val="6E492F1A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1989</Words>
  <Characters>2235</Characters>
  <Lines>0</Lines>
  <Paragraphs>0</Paragraphs>
  <TotalTime>0</TotalTime>
  <ScaleCrop>false</ScaleCrop>
  <LinksUpToDate>false</LinksUpToDate>
  <CharactersWithSpaces>2292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熊杰迪</cp:lastModifiedBy>
  <cp:lastPrinted>2025-07-25T01:46:00Z</cp:lastPrinted>
  <dcterms:modified xsi:type="dcterms:W3CDTF">2026-03-13T08:14:00Z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7AD8E2BC9E854652B3B845DEA0320FEE_13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