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hint="eastAsia" w:ascii="仿宋_GB2312" w:hAnsi="仿宋_GB2312" w:eastAsia="仿宋_GB2312" w:cs="仿宋_GB2312"/>
          <w:b/>
          <w:bCs/>
          <w:kern w:val="2"/>
          <w:sz w:val="44"/>
          <w:szCs w:val="44"/>
          <w:lang w:val="en-US" w:eastAsia="zh-CN" w:bidi="ar-SA"/>
        </w:rPr>
      </w:pPr>
      <w:r>
        <w:rPr>
          <w:rFonts w:hint="eastAsia" w:ascii="仿宋_GB2312" w:hAnsi="仿宋_GB2312" w:eastAsia="仿宋_GB2312" w:cs="仿宋_GB2312"/>
          <w:b/>
          <w:bCs/>
          <w:kern w:val="2"/>
          <w:sz w:val="44"/>
          <w:szCs w:val="44"/>
          <w:lang w:val="en-US" w:eastAsia="zh-CN" w:bidi="ar-SA"/>
        </w:rPr>
        <w:t>2024年粉尘涉爆治理评分标准</w:t>
      </w:r>
    </w:p>
    <w:p>
      <w:pPr>
        <w:pStyle w:val="5"/>
      </w:pPr>
    </w:p>
    <w:tbl>
      <w:tblPr>
        <w:tblStyle w:val="6"/>
        <w:tblW w:w="9630" w:type="dxa"/>
        <w:tblInd w:w="-141"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 w:type="dxa"/>
          <w:bottom w:w="0" w:type="dxa"/>
          <w:right w:w="10" w:type="dxa"/>
        </w:tblCellMar>
      </w:tblPr>
      <w:tblGrid>
        <w:gridCol w:w="900"/>
        <w:gridCol w:w="1545"/>
        <w:gridCol w:w="993"/>
        <w:gridCol w:w="6192"/>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607" w:hRule="atLeast"/>
        </w:trPr>
        <w:tc>
          <w:tcPr>
            <w:tcW w:w="900" w:type="dxa"/>
            <w:noWrap w:val="0"/>
            <w:tcMar>
              <w:left w:w="108" w:type="dxa"/>
              <w:right w:w="108" w:type="dxa"/>
            </w:tcMar>
            <w:vAlign w:val="center"/>
          </w:tcPr>
          <w:p>
            <w:pPr>
              <w:spacing w:line="360" w:lineRule="auto"/>
              <w:jc w:val="center"/>
              <w:rPr>
                <w:rFonts w:hint="eastAsia" w:ascii="宋体" w:hAnsi="宋体" w:cs="宋体"/>
                <w:b/>
                <w:bCs/>
                <w:kern w:val="1"/>
                <w:szCs w:val="21"/>
              </w:rPr>
            </w:pPr>
            <w:r>
              <w:rPr>
                <w:rFonts w:hint="eastAsia" w:ascii="宋体" w:hAnsi="宋体" w:cs="宋体"/>
                <w:b/>
                <w:bCs/>
                <w:kern w:val="1"/>
                <w:szCs w:val="21"/>
              </w:rPr>
              <w:t>序号</w:t>
            </w:r>
          </w:p>
        </w:tc>
        <w:tc>
          <w:tcPr>
            <w:tcW w:w="1545" w:type="dxa"/>
            <w:noWrap w:val="0"/>
            <w:vAlign w:val="center"/>
          </w:tcPr>
          <w:p>
            <w:pPr>
              <w:spacing w:line="360" w:lineRule="auto"/>
              <w:jc w:val="center"/>
              <w:rPr>
                <w:rFonts w:hint="eastAsia" w:ascii="宋体" w:hAnsi="宋体" w:cs="宋体"/>
                <w:b/>
                <w:bCs/>
                <w:kern w:val="1"/>
                <w:szCs w:val="21"/>
              </w:rPr>
            </w:pPr>
            <w:r>
              <w:rPr>
                <w:rFonts w:hint="eastAsia" w:ascii="宋体" w:hAnsi="宋体" w:cs="宋体"/>
                <w:b/>
                <w:bCs/>
                <w:kern w:val="1"/>
                <w:szCs w:val="21"/>
              </w:rPr>
              <w:t>评分因素</w:t>
            </w:r>
          </w:p>
        </w:tc>
        <w:tc>
          <w:tcPr>
            <w:tcW w:w="993" w:type="dxa"/>
            <w:noWrap w:val="0"/>
            <w:vAlign w:val="center"/>
          </w:tcPr>
          <w:p>
            <w:pPr>
              <w:spacing w:line="360" w:lineRule="auto"/>
              <w:jc w:val="center"/>
              <w:rPr>
                <w:rFonts w:hint="eastAsia" w:ascii="宋体" w:hAnsi="宋体" w:cs="宋体"/>
                <w:b/>
                <w:bCs/>
                <w:kern w:val="1"/>
                <w:szCs w:val="21"/>
              </w:rPr>
            </w:pPr>
            <w:r>
              <w:rPr>
                <w:rFonts w:hint="eastAsia" w:ascii="宋体" w:hAnsi="宋体" w:cs="宋体"/>
                <w:b/>
                <w:bCs/>
                <w:kern w:val="1"/>
                <w:szCs w:val="21"/>
              </w:rPr>
              <w:t>分值</w:t>
            </w:r>
          </w:p>
        </w:tc>
        <w:tc>
          <w:tcPr>
            <w:tcW w:w="6192" w:type="dxa"/>
            <w:noWrap w:val="0"/>
            <w:vAlign w:val="center"/>
          </w:tcPr>
          <w:p>
            <w:pPr>
              <w:spacing w:line="360" w:lineRule="auto"/>
              <w:ind w:firstLine="211" w:firstLineChars="100"/>
              <w:jc w:val="center"/>
              <w:rPr>
                <w:rFonts w:hint="eastAsia" w:ascii="宋体" w:hAnsi="宋体" w:cs="宋体"/>
                <w:b/>
                <w:bCs/>
                <w:kern w:val="1"/>
                <w:szCs w:val="21"/>
              </w:rPr>
            </w:pPr>
            <w:r>
              <w:rPr>
                <w:rFonts w:hint="eastAsia" w:ascii="宋体" w:hAnsi="宋体" w:cs="宋体"/>
                <w:b/>
                <w:bCs/>
                <w:kern w:val="1"/>
                <w:szCs w:val="21"/>
              </w:rPr>
              <w:t>评 分 标 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1885" w:hRule="atLeast"/>
        </w:trPr>
        <w:tc>
          <w:tcPr>
            <w:tcW w:w="900" w:type="dxa"/>
            <w:noWrap w:val="0"/>
            <w:tcMar>
              <w:left w:w="108" w:type="dxa"/>
              <w:right w:w="108" w:type="dxa"/>
            </w:tcMar>
            <w:vAlign w:val="center"/>
          </w:tcPr>
          <w:p>
            <w:pPr>
              <w:spacing w:line="360" w:lineRule="auto"/>
              <w:jc w:val="center"/>
              <w:rPr>
                <w:rFonts w:hint="eastAsia" w:ascii="宋体" w:hAnsi="宋体" w:cs="宋体"/>
                <w:kern w:val="1"/>
                <w:szCs w:val="21"/>
              </w:rPr>
            </w:pPr>
            <w:r>
              <w:rPr>
                <w:rFonts w:hint="eastAsia" w:ascii="宋体" w:hAnsi="宋体" w:cs="宋体"/>
                <w:kern w:val="1"/>
                <w:szCs w:val="21"/>
              </w:rPr>
              <w:t>1</w:t>
            </w:r>
          </w:p>
        </w:tc>
        <w:tc>
          <w:tcPr>
            <w:tcW w:w="1545" w:type="dxa"/>
            <w:noWrap w:val="0"/>
            <w:vAlign w:val="center"/>
          </w:tcPr>
          <w:p>
            <w:pPr>
              <w:spacing w:line="360" w:lineRule="auto"/>
              <w:jc w:val="center"/>
              <w:rPr>
                <w:rFonts w:hint="eastAsia" w:ascii="宋体" w:hAnsi="宋体" w:cs="宋体"/>
                <w:kern w:val="1"/>
                <w:szCs w:val="21"/>
              </w:rPr>
            </w:pPr>
            <w:r>
              <w:rPr>
                <w:rFonts w:hint="eastAsia" w:ascii="宋体" w:hAnsi="宋体" w:cs="宋体"/>
                <w:kern w:val="1"/>
                <w:szCs w:val="21"/>
              </w:rPr>
              <w:t>报价</w:t>
            </w:r>
          </w:p>
        </w:tc>
        <w:tc>
          <w:tcPr>
            <w:tcW w:w="993" w:type="dxa"/>
            <w:noWrap w:val="0"/>
            <w:vAlign w:val="center"/>
          </w:tcPr>
          <w:p>
            <w:pPr>
              <w:spacing w:line="360" w:lineRule="auto"/>
              <w:jc w:val="center"/>
              <w:rPr>
                <w:rFonts w:hint="eastAsia" w:ascii="宋体" w:hAnsi="宋体" w:cs="宋体"/>
                <w:kern w:val="1"/>
                <w:szCs w:val="21"/>
              </w:rPr>
            </w:pPr>
            <w:r>
              <w:rPr>
                <w:rFonts w:hint="eastAsia" w:ascii="宋体" w:hAnsi="宋体" w:cs="宋体"/>
                <w:kern w:val="1"/>
                <w:szCs w:val="21"/>
                <w:lang w:val="en-US" w:eastAsia="zh-CN"/>
              </w:rPr>
              <w:t>60</w:t>
            </w:r>
            <w:r>
              <w:rPr>
                <w:rFonts w:hint="eastAsia" w:ascii="宋体" w:hAnsi="宋体" w:cs="宋体"/>
                <w:kern w:val="1"/>
                <w:szCs w:val="21"/>
              </w:rPr>
              <w:t>分</w:t>
            </w:r>
          </w:p>
        </w:tc>
        <w:tc>
          <w:tcPr>
            <w:tcW w:w="6192" w:type="dxa"/>
            <w:noWrap w:val="0"/>
            <w:vAlign w:val="center"/>
          </w:tcPr>
          <w:p>
            <w:pPr>
              <w:pStyle w:val="2"/>
              <w:rPr>
                <w:rFonts w:hint="eastAsia" w:ascii="宋体" w:hAnsi="宋体" w:cs="宋体" w:eastAsiaTheme="minorEastAsia"/>
                <w:color w:val="auto"/>
                <w:kern w:val="1"/>
                <w:sz w:val="21"/>
                <w:szCs w:val="21"/>
                <w:lang w:val="en-US" w:eastAsia="zh-CN" w:bidi="ar-SA"/>
              </w:rPr>
            </w:pPr>
            <w:r>
              <w:rPr>
                <w:rFonts w:hint="eastAsia" w:ascii="宋体" w:hAnsi="宋体" w:cs="宋体" w:eastAsiaTheme="minorEastAsia"/>
                <w:color w:val="auto"/>
                <w:kern w:val="1"/>
                <w:sz w:val="21"/>
                <w:szCs w:val="21"/>
                <w:lang w:val="en-US" w:eastAsia="zh-CN" w:bidi="ar-SA"/>
              </w:rPr>
              <w:t>满足本项目服务要求文件的各投标人最终投标价的算术平均值为基准价，基准分60分；</w:t>
            </w:r>
          </w:p>
          <w:p>
            <w:pPr>
              <w:pStyle w:val="2"/>
              <w:rPr>
                <w:rFonts w:hint="eastAsia" w:ascii="宋体" w:hAnsi="宋体" w:cs="宋体"/>
                <w:kern w:val="1"/>
                <w:szCs w:val="21"/>
              </w:rPr>
            </w:pPr>
            <w:r>
              <w:rPr>
                <w:rFonts w:hint="eastAsia" w:ascii="宋体" w:hAnsi="宋体" w:cs="宋体" w:eastAsiaTheme="minorEastAsia"/>
                <w:color w:val="auto"/>
                <w:kern w:val="1"/>
                <w:sz w:val="21"/>
                <w:szCs w:val="21"/>
                <w:lang w:val="en-US" w:eastAsia="zh-CN" w:bidi="ar-SA"/>
              </w:rPr>
              <w:t>每比基准价高1%扣1分，最多扣10分；每次基准价低1%扣0.5分，最多扣10分。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1589" w:hRule="atLeast"/>
        </w:trPr>
        <w:tc>
          <w:tcPr>
            <w:tcW w:w="900" w:type="dxa"/>
            <w:noWrap w:val="0"/>
            <w:tcMar>
              <w:left w:w="108" w:type="dxa"/>
              <w:right w:w="108" w:type="dxa"/>
            </w:tcMar>
            <w:vAlign w:val="center"/>
          </w:tcPr>
          <w:p>
            <w:pPr>
              <w:spacing w:line="360" w:lineRule="auto"/>
              <w:jc w:val="center"/>
              <w:rPr>
                <w:rFonts w:hint="eastAsia" w:ascii="宋体" w:hAnsi="宋体" w:cs="宋体"/>
                <w:kern w:val="1"/>
                <w:szCs w:val="21"/>
              </w:rPr>
            </w:pPr>
            <w:r>
              <w:rPr>
                <w:rFonts w:hint="eastAsia" w:ascii="宋体" w:hAnsi="宋体" w:cs="宋体"/>
                <w:kern w:val="1"/>
                <w:szCs w:val="21"/>
              </w:rPr>
              <w:t>2</w:t>
            </w:r>
          </w:p>
        </w:tc>
        <w:tc>
          <w:tcPr>
            <w:tcW w:w="1545" w:type="dxa"/>
            <w:noWrap w:val="0"/>
            <w:vAlign w:val="center"/>
          </w:tcPr>
          <w:p>
            <w:pPr>
              <w:spacing w:line="360" w:lineRule="auto"/>
              <w:jc w:val="center"/>
              <w:rPr>
                <w:rFonts w:hint="eastAsia" w:ascii="宋体" w:hAnsi="宋体" w:cs="宋体" w:eastAsiaTheme="minorEastAsia"/>
                <w:kern w:val="1"/>
                <w:szCs w:val="21"/>
                <w:lang w:eastAsia="zh-CN"/>
              </w:rPr>
            </w:pPr>
            <w:r>
              <w:rPr>
                <w:rFonts w:hint="eastAsia" w:ascii="宋体" w:hAnsi="宋体" w:cs="宋体"/>
                <w:kern w:val="0"/>
                <w:szCs w:val="21"/>
                <w:lang w:eastAsia="zh-CN"/>
              </w:rPr>
              <w:t>粉尘涉爆治理</w:t>
            </w:r>
            <w:r>
              <w:rPr>
                <w:rFonts w:hint="eastAsia" w:ascii="宋体" w:hAnsi="宋体" w:cs="宋体"/>
                <w:kern w:val="0"/>
                <w:szCs w:val="21"/>
              </w:rPr>
              <w:t>方案</w:t>
            </w:r>
          </w:p>
        </w:tc>
        <w:tc>
          <w:tcPr>
            <w:tcW w:w="993" w:type="dxa"/>
            <w:noWrap w:val="0"/>
            <w:vAlign w:val="center"/>
          </w:tcPr>
          <w:p>
            <w:pPr>
              <w:spacing w:line="360" w:lineRule="auto"/>
              <w:jc w:val="center"/>
              <w:rPr>
                <w:rFonts w:hint="eastAsia" w:ascii="宋体" w:hAnsi="宋体" w:cs="宋体"/>
                <w:kern w:val="1"/>
                <w:szCs w:val="21"/>
              </w:rPr>
            </w:pPr>
            <w:r>
              <w:rPr>
                <w:rFonts w:hint="eastAsia" w:ascii="宋体" w:hAnsi="宋体" w:cs="宋体"/>
                <w:kern w:val="1"/>
                <w:szCs w:val="21"/>
                <w:lang w:val="en-US" w:eastAsia="zh-CN"/>
              </w:rPr>
              <w:t>30</w:t>
            </w:r>
            <w:r>
              <w:rPr>
                <w:rFonts w:hint="eastAsia" w:ascii="宋体" w:hAnsi="宋体" w:cs="宋体"/>
                <w:kern w:val="1"/>
                <w:szCs w:val="21"/>
              </w:rPr>
              <w:t>分</w:t>
            </w:r>
          </w:p>
        </w:tc>
        <w:tc>
          <w:tcPr>
            <w:tcW w:w="6192" w:type="dxa"/>
            <w:noWrap w:val="0"/>
            <w:vAlign w:val="center"/>
          </w:tcPr>
          <w:p>
            <w:pPr>
              <w:spacing w:line="360" w:lineRule="auto"/>
              <w:ind w:firstLine="420" w:firstLineChars="200"/>
              <w:jc w:val="left"/>
              <w:rPr>
                <w:rFonts w:hint="default" w:ascii="宋体" w:hAnsi="宋体" w:cs="宋体"/>
                <w:kern w:val="1"/>
                <w:szCs w:val="21"/>
                <w:lang w:val="en-US"/>
              </w:rPr>
            </w:pPr>
            <w:r>
              <w:rPr>
                <w:rFonts w:hint="eastAsia" w:ascii="宋体" w:hAnsi="宋体" w:cs="宋体"/>
                <w:kern w:val="1"/>
                <w:szCs w:val="21"/>
                <w:lang w:val="en-US" w:eastAsia="zh-CN"/>
              </w:rPr>
              <w:t>根据公司提供的整改项目，对投标人提供的治理方案进行评比，主要从治理方案的合规性、全面性、安全性、可操作性进行综合评比，第一名得30分，第二名得20分，第三名得10分，可并列得分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 w:type="dxa"/>
            <w:bottom w:w="0" w:type="dxa"/>
            <w:right w:w="10" w:type="dxa"/>
          </w:tblCellMar>
        </w:tblPrEx>
        <w:trPr>
          <w:trHeight w:val="2627" w:hRule="atLeast"/>
        </w:trPr>
        <w:tc>
          <w:tcPr>
            <w:tcW w:w="900" w:type="dxa"/>
            <w:noWrap w:val="0"/>
            <w:tcMar>
              <w:left w:w="108" w:type="dxa"/>
              <w:right w:w="108" w:type="dxa"/>
            </w:tcMar>
            <w:vAlign w:val="center"/>
          </w:tcPr>
          <w:p>
            <w:pPr>
              <w:spacing w:line="360" w:lineRule="auto"/>
              <w:jc w:val="center"/>
              <w:rPr>
                <w:rFonts w:hint="default" w:ascii="宋体" w:hAnsi="宋体" w:cs="宋体"/>
                <w:kern w:val="1"/>
                <w:szCs w:val="21"/>
                <w:lang w:val="en-US" w:eastAsia="zh-CN"/>
              </w:rPr>
            </w:pPr>
            <w:r>
              <w:rPr>
                <w:rFonts w:hint="eastAsia" w:ascii="宋体" w:hAnsi="宋体" w:cs="宋体"/>
                <w:kern w:val="1"/>
                <w:szCs w:val="21"/>
                <w:lang w:val="en-US" w:eastAsia="zh-CN"/>
              </w:rPr>
              <w:t>3</w:t>
            </w:r>
          </w:p>
        </w:tc>
        <w:tc>
          <w:tcPr>
            <w:tcW w:w="1545" w:type="dxa"/>
            <w:noWrap w:val="0"/>
            <w:vAlign w:val="center"/>
          </w:tcPr>
          <w:p>
            <w:pPr>
              <w:spacing w:line="360" w:lineRule="auto"/>
              <w:jc w:val="center"/>
              <w:rPr>
                <w:rFonts w:hint="eastAsia" w:ascii="宋体" w:hAnsi="宋体" w:cs="宋体"/>
                <w:kern w:val="0"/>
                <w:szCs w:val="21"/>
              </w:rPr>
            </w:pPr>
            <w:r>
              <w:rPr>
                <w:rFonts w:hint="eastAsia" w:ascii="宋体" w:hAnsi="宋体" w:cs="宋体"/>
                <w:kern w:val="1"/>
                <w:szCs w:val="21"/>
              </w:rPr>
              <w:t>类似业绩</w:t>
            </w:r>
          </w:p>
        </w:tc>
        <w:tc>
          <w:tcPr>
            <w:tcW w:w="993" w:type="dxa"/>
            <w:noWrap w:val="0"/>
            <w:vAlign w:val="center"/>
          </w:tcPr>
          <w:p>
            <w:pPr>
              <w:spacing w:line="360" w:lineRule="auto"/>
              <w:jc w:val="center"/>
              <w:rPr>
                <w:rFonts w:hint="default" w:ascii="宋体" w:hAnsi="宋体" w:cs="宋体"/>
                <w:kern w:val="1"/>
                <w:szCs w:val="21"/>
                <w:lang w:val="en-US" w:eastAsia="zh-CN"/>
              </w:rPr>
            </w:pPr>
            <w:r>
              <w:rPr>
                <w:rFonts w:hint="eastAsia" w:ascii="宋体" w:hAnsi="宋体" w:cs="宋体"/>
                <w:kern w:val="1"/>
                <w:szCs w:val="21"/>
                <w:lang w:val="en-US" w:eastAsia="zh-CN"/>
              </w:rPr>
              <w:t>10</w:t>
            </w:r>
          </w:p>
        </w:tc>
        <w:tc>
          <w:tcPr>
            <w:tcW w:w="6192" w:type="dxa"/>
            <w:noWrap w:val="0"/>
            <w:vAlign w:val="center"/>
          </w:tcPr>
          <w:p>
            <w:pPr>
              <w:spacing w:line="360" w:lineRule="auto"/>
              <w:ind w:firstLine="420" w:firstLineChars="200"/>
              <w:jc w:val="left"/>
              <w:rPr>
                <w:rFonts w:hint="eastAsia" w:ascii="宋体" w:hAnsi="宋体" w:cs="宋体"/>
                <w:kern w:val="1"/>
                <w:szCs w:val="21"/>
                <w:lang w:val="en-US" w:eastAsia="zh-CN"/>
              </w:rPr>
            </w:pPr>
            <w:r>
              <w:rPr>
                <w:rFonts w:hint="eastAsia" w:ascii="宋体" w:hAnsi="宋体" w:cs="宋体"/>
                <w:kern w:val="1"/>
                <w:szCs w:val="21"/>
                <w:lang w:val="en-US" w:eastAsia="zh-CN"/>
              </w:rPr>
              <w:t>投标人从2020年至今，开展食品行业粉尘爆炸事故隐患治理方案编制及防爆设备设施供应安装的业绩不少于两家（提供合同复印件），每多提供1个得5分，最多得10分。</w:t>
            </w:r>
          </w:p>
          <w:p>
            <w:pPr>
              <w:spacing w:line="360" w:lineRule="auto"/>
              <w:jc w:val="left"/>
              <w:rPr>
                <w:rFonts w:hint="eastAsia" w:ascii="宋体" w:hAnsi="宋体" w:cs="宋体"/>
                <w:kern w:val="0"/>
                <w:szCs w:val="21"/>
              </w:rPr>
            </w:pPr>
            <w:r>
              <w:rPr>
                <w:rFonts w:hint="eastAsia" w:ascii="宋体" w:hAnsi="宋体" w:cs="宋体"/>
                <w:kern w:val="1"/>
                <w:szCs w:val="21"/>
              </w:rPr>
              <w:t>注：业绩证明需提供合同复印件并加盖比选</w:t>
            </w:r>
            <w:r>
              <w:rPr>
                <w:rFonts w:hint="eastAsia" w:ascii="宋体" w:hAnsi="宋体" w:cs="宋体"/>
                <w:kern w:val="1"/>
                <w:szCs w:val="21"/>
                <w:lang w:val="en-US" w:eastAsia="zh-CN"/>
              </w:rPr>
              <w:t>投标</w:t>
            </w:r>
            <w:r>
              <w:rPr>
                <w:rFonts w:hint="eastAsia" w:ascii="宋体" w:hAnsi="宋体" w:cs="宋体"/>
                <w:kern w:val="1"/>
                <w:szCs w:val="21"/>
              </w:rPr>
              <w:t>人鲜章，未提供不得分。</w:t>
            </w:r>
          </w:p>
        </w:tc>
      </w:tr>
    </w:tbl>
    <w:p>
      <w:pPr>
        <w:pStyle w:val="5"/>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M2RlYTRmOTVkNTg2NDM0M2I5ZmMyZjUzMmJmMzYifQ=="/>
    <w:docVar w:name="KSO_WPS_MARK_KEY" w:val="501f3ed9-f615-4734-9628-de546cb8cf6a"/>
  </w:docVars>
  <w:rsids>
    <w:rsidRoot w:val="42DD78C9"/>
    <w:rsid w:val="01101675"/>
    <w:rsid w:val="056D0DFF"/>
    <w:rsid w:val="100A5B41"/>
    <w:rsid w:val="18FF089C"/>
    <w:rsid w:val="195C786A"/>
    <w:rsid w:val="195D67D0"/>
    <w:rsid w:val="1F114BF6"/>
    <w:rsid w:val="21543271"/>
    <w:rsid w:val="2CC6515A"/>
    <w:rsid w:val="3C2635F7"/>
    <w:rsid w:val="3FA1450D"/>
    <w:rsid w:val="401B7113"/>
    <w:rsid w:val="42DD78C9"/>
    <w:rsid w:val="458C785C"/>
    <w:rsid w:val="63396D50"/>
    <w:rsid w:val="72C53632"/>
    <w:rsid w:val="789C36D4"/>
    <w:rsid w:val="79AA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next w:val="4"/>
    <w:autoRedefine/>
    <w:qFormat/>
    <w:uiPriority w:val="0"/>
    <w:pPr>
      <w:spacing w:after="120"/>
    </w:pPr>
    <w:rPr>
      <w:szCs w:val="20"/>
    </w:rPr>
  </w:style>
  <w:style w:type="paragraph" w:styleId="4">
    <w:name w:val="Subtitle"/>
    <w:basedOn w:val="1"/>
    <w:next w:val="1"/>
    <w:autoRedefine/>
    <w:qFormat/>
    <w:uiPriority w:val="0"/>
    <w:pPr>
      <w:spacing w:line="312" w:lineRule="auto"/>
      <w:jc w:val="left"/>
      <w:outlineLvl w:val="1"/>
    </w:pPr>
    <w:rPr>
      <w:rFonts w:ascii="Cambria" w:hAnsi="Cambria"/>
      <w:b/>
      <w:bCs/>
      <w:kern w:val="28"/>
      <w:sz w:val="21"/>
      <w:szCs w:val="32"/>
    </w:rPr>
  </w:style>
  <w:style w:type="paragraph" w:styleId="5">
    <w:name w:val="Plain Text"/>
    <w:basedOn w:val="1"/>
    <w:autoRedefine/>
    <w:qFormat/>
    <w:uiPriority w:val="0"/>
    <w:pPr>
      <w:autoSpaceDE w:val="0"/>
      <w:autoSpaceDN w:val="0"/>
      <w:adjustRightInd w:val="0"/>
    </w:pPr>
    <w:rPr>
      <w:rFonts w:hAnsi="Tms Rm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309</Characters>
  <Lines>0</Lines>
  <Paragraphs>0</Paragraphs>
  <TotalTime>5</TotalTime>
  <ScaleCrop>false</ScaleCrop>
  <LinksUpToDate>false</LinksUpToDate>
  <CharactersWithSpaces>316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2022-06-20T11:58:00Z</dcterms:created>
  <dc:creator>tangee3</dc:creator>
  <cp:lastModifiedBy>燕尾蝶</cp:lastModifiedBy>
  <dcterms:modified xsi:type="dcterms:W3CDTF">2024-03-21T01:05:21Z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2E145C2E9C9345B4A98ABD2AA4941C71</vt:lpwstr>
  </property>
</Properties>
</file>